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8" w:rsidRPr="00895E54" w:rsidRDefault="00895E54" w:rsidP="00895E54">
      <w:pPr>
        <w:jc w:val="both"/>
        <w:rPr>
          <w:rStyle w:val="a5"/>
          <w:color w:val="FF0000"/>
          <w:sz w:val="20"/>
        </w:rPr>
      </w:pPr>
      <w:bookmarkStart w:id="0" w:name="OLE_LINK4"/>
      <w:bookmarkStart w:id="1" w:name="OLE_LINK5"/>
      <w:bookmarkStart w:id="2" w:name="_GoBack"/>
      <w:bookmarkEnd w:id="2"/>
      <w:r w:rsidRPr="00895E54">
        <w:rPr>
          <w:sz w:val="16"/>
          <w:szCs w:val="16"/>
        </w:rPr>
        <w:t>Л</w:t>
      </w:r>
      <w:r w:rsidR="003F2F98" w:rsidRPr="00895E54">
        <w:rPr>
          <w:sz w:val="16"/>
          <w:szCs w:val="16"/>
        </w:rPr>
        <w:t>ицензия № 9662 от 13.04.2016</w:t>
      </w:r>
      <w:r w:rsidR="00987500" w:rsidRPr="00895E54">
        <w:rPr>
          <w:sz w:val="16"/>
          <w:szCs w:val="16"/>
        </w:rPr>
        <w:t xml:space="preserve">   </w:t>
      </w:r>
      <w:r w:rsidR="00987500" w:rsidRPr="00895E54">
        <w:rPr>
          <w:b/>
          <w:noProof/>
          <w:sz w:val="16"/>
          <w:szCs w:val="16"/>
        </w:rPr>
        <w:drawing>
          <wp:inline distT="0" distB="0" distL="0" distR="0" wp14:anchorId="32719FA8" wp14:editId="4C06B0D8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00" w:rsidRPr="00895E54">
        <w:rPr>
          <w:b/>
          <w:noProof/>
          <w:sz w:val="16"/>
          <w:szCs w:val="16"/>
        </w:rPr>
        <w:t xml:space="preserve">           </w:t>
      </w:r>
      <w:r>
        <w:rPr>
          <w:b/>
          <w:noProof/>
          <w:sz w:val="16"/>
          <w:szCs w:val="16"/>
        </w:rPr>
        <w:t xml:space="preserve">  </w:t>
      </w:r>
      <w:r w:rsidR="003F2F98" w:rsidRPr="00895E54">
        <w:rPr>
          <w:color w:val="FF0000"/>
          <w:sz w:val="20"/>
        </w:rPr>
        <w:t xml:space="preserve">Для </w:t>
      </w:r>
      <w:r w:rsidR="00461EF4" w:rsidRPr="00895E54">
        <w:rPr>
          <w:color w:val="FF0000"/>
          <w:sz w:val="20"/>
        </w:rPr>
        <w:t xml:space="preserve">кадровика, руководителя, бухгалтера </w:t>
      </w:r>
      <w:r w:rsidR="005D2F57" w:rsidRPr="00895E54">
        <w:rPr>
          <w:rStyle w:val="a5"/>
          <w:bCs/>
          <w:color w:val="FF0000"/>
          <w:sz w:val="20"/>
        </w:rPr>
        <w:t xml:space="preserve"> и всех заинтересованных лиц.</w:t>
      </w:r>
    </w:p>
    <w:p w:rsidR="003F2F98" w:rsidRPr="00895E54" w:rsidRDefault="00895E54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895E54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2F589B0F" wp14:editId="754163A4">
            <wp:simplePos x="0" y="0"/>
            <wp:positionH relativeFrom="margin">
              <wp:posOffset>-219075</wp:posOffset>
            </wp:positionH>
            <wp:positionV relativeFrom="paragraph">
              <wp:posOffset>201295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98" w:rsidRPr="00895E54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895E54" w:rsidRPr="00895E54" w:rsidRDefault="00895E54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895E54">
        <w:rPr>
          <w:rStyle w:val="a5"/>
          <w:bCs/>
          <w:sz w:val="16"/>
          <w:szCs w:val="16"/>
        </w:rPr>
        <w:t>проводит</w:t>
      </w:r>
    </w:p>
    <w:p w:rsidR="003F2F98" w:rsidRPr="00CB38A4" w:rsidRDefault="003F2F98" w:rsidP="0093475B">
      <w:pPr>
        <w:pStyle w:val="p1"/>
        <w:spacing w:before="0" w:beforeAutospacing="0" w:after="0" w:afterAutospacing="0"/>
        <w:jc w:val="center"/>
        <w:rPr>
          <w:rStyle w:val="s1"/>
          <w:rFonts w:ascii="Times New Roman Полужирный" w:hAnsi="Times New Roman Полужирный"/>
          <w:b/>
        </w:rPr>
      </w:pPr>
      <w:r w:rsidRPr="00CB38A4">
        <w:rPr>
          <w:rStyle w:val="s1"/>
          <w:rFonts w:ascii="Times New Roman Полужирный" w:hAnsi="Times New Roman Полужирный"/>
          <w:b/>
          <w:caps/>
        </w:rPr>
        <w:t>СЕМИНАР-</w:t>
      </w:r>
      <w:r w:rsidR="00461EF4" w:rsidRPr="00CB38A4">
        <w:rPr>
          <w:rStyle w:val="s1"/>
          <w:rFonts w:ascii="Times New Roman Полужирный" w:hAnsi="Times New Roman Полужирный"/>
          <w:b/>
          <w:caps/>
        </w:rPr>
        <w:t>ПРАКТИКУМ</w:t>
      </w:r>
      <w:r w:rsidR="00895E54" w:rsidRPr="00CB38A4">
        <w:rPr>
          <w:rStyle w:val="s1"/>
          <w:rFonts w:ascii="Times New Roman Полужирный" w:hAnsi="Times New Roman Полужирный"/>
          <w:b/>
        </w:rPr>
        <w:t xml:space="preserve"> </w:t>
      </w:r>
      <w:r w:rsidR="00895E54" w:rsidRPr="00CB38A4">
        <w:rPr>
          <w:rStyle w:val="s1"/>
          <w:rFonts w:ascii="Times New Roman Полужирный" w:hAnsi="Times New Roman Полужирный"/>
          <w:b/>
          <w:caps/>
        </w:rPr>
        <w:t xml:space="preserve">в г. </w:t>
      </w:r>
      <w:r w:rsidR="00CB38A4" w:rsidRPr="00CB38A4">
        <w:rPr>
          <w:rStyle w:val="s1"/>
          <w:rFonts w:ascii="Times New Roman Полужирный" w:hAnsi="Times New Roman Полужирный"/>
          <w:b/>
          <w:caps/>
        </w:rPr>
        <w:t>БАРНАУЛЕ</w:t>
      </w:r>
    </w:p>
    <w:p w:rsidR="00CB38A4" w:rsidRPr="000D2BB3" w:rsidRDefault="00CB38A4" w:rsidP="00CB38A4">
      <w:pPr>
        <w:tabs>
          <w:tab w:val="left" w:pos="0"/>
          <w:tab w:val="left" w:pos="142"/>
        </w:tabs>
        <w:spacing w:before="20" w:line="204" w:lineRule="auto"/>
        <w:jc w:val="center"/>
        <w:rPr>
          <w:sz w:val="18"/>
          <w:szCs w:val="18"/>
        </w:rPr>
      </w:pPr>
      <w:r w:rsidRPr="000D2BB3">
        <w:rPr>
          <w:sz w:val="18"/>
          <w:szCs w:val="18"/>
        </w:rPr>
        <w:t xml:space="preserve">В Конференц-зале </w:t>
      </w:r>
      <w:r>
        <w:rPr>
          <w:sz w:val="18"/>
          <w:szCs w:val="18"/>
        </w:rPr>
        <w:t>Бизнес-Центра «Проспект» (г. Барнаул, ул. Проспект  Ленина, 39, 4 этаж, ост «Медуниверситет»)</w:t>
      </w:r>
    </w:p>
    <w:p w:rsidR="003F2F98" w:rsidRPr="00895E54" w:rsidRDefault="00CB38A4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="005915F2">
        <w:rPr>
          <w:b/>
          <w:bCs/>
          <w:sz w:val="28"/>
          <w:szCs w:val="28"/>
          <w:u w:val="single"/>
        </w:rPr>
        <w:t xml:space="preserve"> Декабря</w:t>
      </w:r>
      <w:r w:rsidR="00461EF4" w:rsidRPr="00895E54">
        <w:rPr>
          <w:b/>
          <w:bCs/>
          <w:sz w:val="28"/>
          <w:szCs w:val="28"/>
          <w:u w:val="single"/>
        </w:rPr>
        <w:t xml:space="preserve"> 2019г</w:t>
      </w:r>
      <w:r w:rsidR="00895E54" w:rsidRPr="00895E54">
        <w:rPr>
          <w:b/>
          <w:bCs/>
          <w:sz w:val="28"/>
          <w:szCs w:val="28"/>
          <w:u w:val="single"/>
        </w:rPr>
        <w:t xml:space="preserve"> </w:t>
      </w:r>
      <w:r w:rsidR="00895E54" w:rsidRPr="00895E54">
        <w:rPr>
          <w:b/>
          <w:bCs/>
          <w:sz w:val="20"/>
          <w:szCs w:val="20"/>
        </w:rPr>
        <w:t>с 10-00 – 15</w:t>
      </w:r>
      <w:r w:rsidR="003F2F98" w:rsidRPr="00895E54">
        <w:rPr>
          <w:b/>
          <w:bCs/>
          <w:sz w:val="20"/>
          <w:szCs w:val="20"/>
        </w:rPr>
        <w:t>-00</w:t>
      </w:r>
    </w:p>
    <w:p w:rsidR="003F2F98" w:rsidRPr="00895E54" w:rsidRDefault="003F2F98" w:rsidP="00EF5E94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895E54">
        <w:rPr>
          <w:b/>
          <w:sz w:val="14"/>
          <w:szCs w:val="14"/>
        </w:rPr>
        <w:t>в программе:</w:t>
      </w:r>
    </w:p>
    <w:p w:rsidR="00895E54" w:rsidRPr="00895E54" w:rsidRDefault="00895E54" w:rsidP="00895E5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895E54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</w:t>
      </w: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Электронные трудовые книжки - 2020.</w:t>
      </w:r>
    </w:p>
    <w:p w:rsidR="00895E54" w:rsidRPr="00895E54" w:rsidRDefault="00895E54" w:rsidP="00895E5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895E54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895E5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Обязанности работодателя в переходный период»</w:t>
      </w:r>
    </w:p>
    <w:p w:rsidR="00895E54" w:rsidRPr="00895E54" w:rsidRDefault="00895E54" w:rsidP="00895E54">
      <w:pPr>
        <w:numPr>
          <w:ilvl w:val="0"/>
          <w:numId w:val="22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20"/>
          <w:szCs w:val="20"/>
        </w:rPr>
      </w:pPr>
      <w:r w:rsidRPr="00895E54">
        <w:rPr>
          <w:b/>
          <w:bCs/>
          <w:color w:val="000000"/>
        </w:rPr>
        <w:t>Переход на Электронный СНИЛС с 01.04.2019 – первоначальный этап по вводу электронных трудовых книжек.</w:t>
      </w:r>
      <w:r w:rsidRPr="00895E54">
        <w:rPr>
          <w:b/>
          <w:bCs/>
          <w:color w:val="000000"/>
          <w:sz w:val="20"/>
          <w:szCs w:val="20"/>
        </w:rPr>
        <w:t> </w:t>
      </w:r>
      <w:r w:rsidRPr="00895E54">
        <w:rPr>
          <w:color w:val="000000"/>
          <w:sz w:val="20"/>
          <w:szCs w:val="20"/>
        </w:rPr>
        <w:t>Получение номера СНИЛС по новым правилам: постановка на учет, документ подтверждающий присвоение СНИЛС (эл. документ с цифровой подписью).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Этапы перехода на электронные трудовые книжки. Пошаговый алгоритм перехода на электронные книжки (уведомление, отчетность, выдача трудовой книжки на руки).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Законопроекты о переходе на Электронные трудовые книжки, которые будут приняты до 1 января 2020 г.</w:t>
      </w:r>
      <w:r w:rsidRPr="00895E54">
        <w:rPr>
          <w:sz w:val="20"/>
          <w:szCs w:val="20"/>
          <w:shd w:val="clear" w:color="auto" w:fill="FFFFFF"/>
        </w:rPr>
        <w:t xml:space="preserve">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-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 Изменения в Кодекс об административных правонарушениях - административная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Сведения о трудовой деятельности работника: порядок и сроки представления в Пенсионный фонд РФ и выдачи работнику на руки. Какой орган будет вести электронные книжки. Подтверждение трудового стажа работников, после внедрения – способы. Взаимодействие с УПФ – в каких случаях отчетность не примут. Заверение копий трудовых книжек до 01.01.2027, особенности оформления архивных справок, подтверждающих стаж работника.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- Форма СЗИ-ТД</w:t>
      </w:r>
      <w:r w:rsidRPr="00895E54">
        <w:rPr>
          <w:sz w:val="20"/>
          <w:szCs w:val="20"/>
        </w:rPr>
        <w:t> для предоставления сведении о трудовой деятельности работника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- Форма СЗВ-ТД</w:t>
      </w:r>
      <w:r w:rsidRPr="00895E54">
        <w:rPr>
          <w:sz w:val="20"/>
          <w:szCs w:val="20"/>
        </w:rPr>
        <w:t> для предоставления сведений о трудовой деятельности работников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sz w:val="20"/>
          <w:szCs w:val="20"/>
        </w:rPr>
        <w:t>- Порядок заполнения формы СЗИ-ТД</w:t>
      </w:r>
    </w:p>
    <w:p w:rsidR="00895E54" w:rsidRPr="00895E54" w:rsidRDefault="00895E54" w:rsidP="00895E54">
      <w:pPr>
        <w:pStyle w:val="a7"/>
        <w:shd w:val="clear" w:color="auto" w:fill="FFFFFF"/>
        <w:spacing w:before="0" w:beforeAutospacing="0" w:after="0" w:afterAutospacing="0" w:line="216" w:lineRule="auto"/>
        <w:jc w:val="both"/>
        <w:rPr>
          <w:sz w:val="20"/>
          <w:szCs w:val="20"/>
        </w:rPr>
      </w:pPr>
      <w:r w:rsidRPr="00895E54">
        <w:rPr>
          <w:sz w:val="20"/>
          <w:szCs w:val="20"/>
        </w:rPr>
        <w:t>- Порядок заполнения формы СЗВ-ТД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 xml:space="preserve">- Организационные моменты отчетности и предоставления сведений работникам: кто оформляет СЗИ-ТД и СЗВ-ТД? Разграничение полномочий кадровика и бухгалтера. 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Переходный период: возможные негативные последствия.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Отмена Инструкции по ведению трудовой книжки – сроки, проблемы.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 w:rsidRPr="00895E54">
        <w:rPr>
          <w:color w:val="000000"/>
          <w:sz w:val="20"/>
          <w:szCs w:val="20"/>
        </w:rPr>
        <w:t>- Административная ответственность за нарушения порядка ведения электронных трудовых книжек.</w:t>
      </w:r>
    </w:p>
    <w:p w:rsidR="00895E54" w:rsidRPr="00895E54" w:rsidRDefault="00895E54" w:rsidP="00895E54">
      <w:pPr>
        <w:pStyle w:val="ac"/>
        <w:numPr>
          <w:ilvl w:val="0"/>
          <w:numId w:val="2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Электронный кадровый документооборот работодателя</w:t>
      </w:r>
      <w:r w:rsidRPr="00895E54">
        <w:rPr>
          <w:rFonts w:ascii="Times New Roman" w:eastAsia="Times New Roman" w:hAnsi="Times New Roman" w:cs="Times New Roman"/>
          <w:color w:val="000000"/>
          <w:sz w:val="20"/>
          <w:szCs w:val="20"/>
        </w:rPr>
        <w:t> – следующий этап «цифровизация» трудовых отношений: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Законопроекты по внедрению электронного кадрового документооборота: электронный документ, цифровая подпись, хранение и передача информации, внесение изменений по использованию электронного документооборота в обширный список законов.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Итоги эксперимента, проведенного в 2018 году (Приказ Минтруда России № 194 от 26 марта 2018). Планирование следующего эксперимента продолжительностью 3 года.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Необходимые экономические и временные ресурсы на внедрение электронного документооборота, предполагаемое время начала «массового» электронного документооборота. Плюсы и минусы нововведений, что необходимо знать и как подготовиться к этому.</w:t>
      </w:r>
    </w:p>
    <w:p w:rsidR="00895E54" w:rsidRPr="00895E54" w:rsidRDefault="00895E54" w:rsidP="00895E54">
      <w:pPr>
        <w:pStyle w:val="ac"/>
        <w:numPr>
          <w:ilvl w:val="0"/>
          <w:numId w:val="2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Кадровый аудит, своими силами – приводим в соответствие с «электронными» требованиями документы: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Построение системы проведения учета и контроля соблюдения в компании трудового законодательства (задачи, цели, этапы, сроки).</w:t>
      </w:r>
    </w:p>
    <w:p w:rsidR="00895E54" w:rsidRPr="00895E54" w:rsidRDefault="00895E54" w:rsidP="00895E54">
      <w:pPr>
        <w:spacing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Аудит трудовых книжек на бумажном носителе, возможное исправление ошибок и записей не соответствующих законодательству.</w:t>
      </w:r>
    </w:p>
    <w:p w:rsidR="00895E54" w:rsidRDefault="00895E54" w:rsidP="00895E54">
      <w:pPr>
        <w:pStyle w:val="p3"/>
        <w:tabs>
          <w:tab w:val="left" w:pos="284"/>
        </w:tabs>
        <w:spacing w:before="0" w:beforeAutospacing="0" w:after="0" w:afterAutospacing="0" w:line="21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95E54">
        <w:rPr>
          <w:color w:val="000000"/>
          <w:sz w:val="20"/>
          <w:szCs w:val="20"/>
        </w:rPr>
        <w:t>Обобщаем результаты, вносим изменения и поправки в ЛНА, выбираем самое благоприятное время для внесения изменений</w:t>
      </w:r>
    </w:p>
    <w:p w:rsidR="003F2F98" w:rsidRPr="00895E54" w:rsidRDefault="003F2F98" w:rsidP="00895E54">
      <w:pPr>
        <w:pStyle w:val="p3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16" w:lineRule="auto"/>
        <w:ind w:left="284" w:hanging="284"/>
        <w:jc w:val="both"/>
        <w:rPr>
          <w:sz w:val="20"/>
          <w:szCs w:val="20"/>
        </w:rPr>
      </w:pPr>
      <w:r w:rsidRPr="00895E54">
        <w:rPr>
          <w:b/>
          <w:sz w:val="20"/>
          <w:szCs w:val="20"/>
        </w:rPr>
        <w:t>Ответы на вопросы слушателей</w:t>
      </w:r>
      <w:r w:rsidRPr="00895E54">
        <w:rPr>
          <w:sz w:val="20"/>
          <w:szCs w:val="20"/>
        </w:rPr>
        <w:t xml:space="preserve"> (</w:t>
      </w:r>
      <w:r w:rsidRPr="00895E54">
        <w:rPr>
          <w:rStyle w:val="s3"/>
          <w:b/>
          <w:sz w:val="20"/>
          <w:szCs w:val="20"/>
          <w:u w:val="single"/>
        </w:rPr>
        <w:t xml:space="preserve">вопросы возможно присылать заранее на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sibpros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>@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yandex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 xml:space="preserve">.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ru</w:t>
      </w:r>
      <w:r w:rsidRPr="00895E54">
        <w:rPr>
          <w:sz w:val="20"/>
          <w:szCs w:val="20"/>
        </w:rPr>
        <w:t>).</w:t>
      </w:r>
    </w:p>
    <w:p w:rsidR="003F2F98" w:rsidRPr="00895E54" w:rsidRDefault="005D2F57" w:rsidP="005D2F57">
      <w:pPr>
        <w:spacing w:before="40" w:line="192" w:lineRule="auto"/>
        <w:jc w:val="center"/>
        <w:rPr>
          <w:b/>
          <w:i/>
          <w:spacing w:val="-10"/>
        </w:rPr>
      </w:pPr>
      <w:r w:rsidRPr="00895E54">
        <w:rPr>
          <w:b/>
          <w:color w:val="00B050"/>
        </w:rPr>
        <w:t>Читае</w:t>
      </w:r>
      <w:r w:rsidR="003F2F98" w:rsidRPr="00895E54">
        <w:rPr>
          <w:b/>
          <w:color w:val="00B050"/>
        </w:rPr>
        <w:t>т</w:t>
      </w:r>
      <w:r w:rsidR="003F2F98" w:rsidRPr="00895E54">
        <w:rPr>
          <w:b/>
          <w:color w:val="0070C0"/>
        </w:rPr>
        <w:t xml:space="preserve">: </w:t>
      </w:r>
      <w:r w:rsidRPr="00895E54">
        <w:rPr>
          <w:b/>
          <w:color w:val="0070C0"/>
        </w:rPr>
        <w:t xml:space="preserve"> </w:t>
      </w:r>
      <w:r w:rsidR="003F2F98" w:rsidRPr="00895E54">
        <w:rPr>
          <w:b/>
          <w:bCs/>
          <w:color w:val="FF0000"/>
          <w:u w:val="single"/>
        </w:rPr>
        <w:t>Боярина Марина Владимировна</w:t>
      </w:r>
      <w:r w:rsidR="003F2F98" w:rsidRPr="00895E54">
        <w:rPr>
          <w:rStyle w:val="apple-converted-space"/>
          <w:b/>
          <w:bCs/>
        </w:rPr>
        <w:t> </w:t>
      </w:r>
      <w:r w:rsidR="003F2F98" w:rsidRPr="00895E54">
        <w:rPr>
          <w:b/>
          <w:bCs/>
          <w:sz w:val="17"/>
          <w:szCs w:val="17"/>
        </w:rPr>
        <w:t xml:space="preserve">- </w:t>
      </w:r>
      <w:r w:rsidR="003F2F98" w:rsidRPr="00895E54">
        <w:rPr>
          <w:b/>
          <w:bCs/>
          <w:spacing w:val="-4"/>
          <w:sz w:val="17"/>
          <w:szCs w:val="17"/>
        </w:rPr>
        <w:t>Э</w:t>
      </w:r>
      <w:r w:rsidR="003F2F98" w:rsidRPr="00895E54">
        <w:rPr>
          <w:i/>
          <w:iCs/>
          <w:spacing w:val="-4"/>
          <w:sz w:val="17"/>
          <w:szCs w:val="17"/>
        </w:rPr>
        <w:t>ксперт по вопросам применения трудов</w:t>
      </w:r>
      <w:r w:rsidR="00AA0137" w:rsidRPr="00895E54">
        <w:rPr>
          <w:i/>
          <w:iCs/>
          <w:spacing w:val="-4"/>
          <w:sz w:val="17"/>
          <w:szCs w:val="17"/>
        </w:rPr>
        <w:t>ого законодательства и кадрового делопроизводства</w:t>
      </w:r>
      <w:r w:rsidR="003F2F98" w:rsidRPr="00895E54">
        <w:rPr>
          <w:i/>
          <w:iCs/>
          <w:spacing w:val="-4"/>
          <w:sz w:val="17"/>
          <w:szCs w:val="17"/>
        </w:rPr>
        <w:t>,</w:t>
      </w:r>
      <w:r w:rsidR="003F2F98" w:rsidRPr="00895E54">
        <w:rPr>
          <w:i/>
          <w:iCs/>
          <w:color w:val="000000"/>
          <w:spacing w:val="-4"/>
          <w:sz w:val="17"/>
          <w:szCs w:val="17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="003F2F98" w:rsidRPr="00895E54">
        <w:rPr>
          <w:i/>
          <w:iCs/>
          <w:spacing w:val="-4"/>
          <w:sz w:val="17"/>
          <w:szCs w:val="17"/>
        </w:rPr>
        <w:t xml:space="preserve"> консультант по вопросам безопасности, экономики и управления, бизнес-тренер</w:t>
      </w:r>
      <w:r w:rsidR="00AA0137" w:rsidRPr="00895E54">
        <w:rPr>
          <w:i/>
          <w:iCs/>
          <w:spacing w:val="-4"/>
          <w:sz w:val="17"/>
          <w:szCs w:val="17"/>
        </w:rPr>
        <w:t>, автор множества книг по трудовым отношениям.</w:t>
      </w:r>
    </w:p>
    <w:p w:rsidR="003F2F98" w:rsidRPr="00895E54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895E54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895E54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895E54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1134"/>
          <w:tab w:val="left" w:pos="1276"/>
        </w:tabs>
        <w:spacing w:before="4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895E54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895E54">
        <w:rPr>
          <w:rFonts w:eastAsia="SimSun"/>
          <w:b/>
          <w:spacing w:val="-4"/>
          <w:lang w:eastAsia="zh-CN"/>
        </w:rPr>
        <w:t>:</w:t>
      </w:r>
      <w:r w:rsidR="005915F2">
        <w:rPr>
          <w:rFonts w:eastAsia="SimSun"/>
          <w:b/>
          <w:color w:val="FF0000"/>
          <w:spacing w:val="-4"/>
          <w:u w:val="single"/>
          <w:lang w:eastAsia="zh-CN"/>
        </w:rPr>
        <w:t>35</w:t>
      </w: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895E54">
        <w:rPr>
          <w:rFonts w:eastAsia="SimSun"/>
          <w:b/>
          <w:spacing w:val="-4"/>
          <w:lang w:eastAsia="zh-CN"/>
        </w:rPr>
        <w:t>(</w:t>
      </w:r>
      <w:r w:rsidRPr="00895E54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</w:p>
    <w:p w:rsidR="003F2F98" w:rsidRPr="005915F2" w:rsidRDefault="003F2F98" w:rsidP="005915F2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pacing w:val="-4"/>
          <w:sz w:val="18"/>
          <w:lang w:eastAsia="zh-CN"/>
        </w:rPr>
      </w:pP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895E54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авторский информационный материал в электронном виде, </w:t>
      </w:r>
      <w:r w:rsidRPr="00895E54">
        <w:rPr>
          <w:rFonts w:eastAsia="SimSun"/>
          <w:b/>
          <w:sz w:val="18"/>
          <w:lang w:eastAsia="zh-CN"/>
        </w:rPr>
        <w:t>письменные  принадлежности</w:t>
      </w:r>
      <w:r w:rsidRPr="00895E54">
        <w:rPr>
          <w:rFonts w:eastAsia="SimSun"/>
          <w:b/>
          <w:spacing w:val="-4"/>
          <w:sz w:val="18"/>
          <w:lang w:eastAsia="zh-CN"/>
        </w:rPr>
        <w:t>,</w:t>
      </w:r>
      <w:r w:rsidR="00895E54" w:rsidRPr="00895E54">
        <w:rPr>
          <w:rFonts w:eastAsia="SimSun"/>
          <w:b/>
          <w:spacing w:val="-4"/>
          <w:sz w:val="18"/>
          <w:lang w:eastAsia="zh-CN"/>
        </w:rPr>
        <w:t xml:space="preserve"> кофе-брейк</w:t>
      </w:r>
      <w:r w:rsidR="005915F2">
        <w:rPr>
          <w:rFonts w:eastAsia="SimSun"/>
          <w:b/>
          <w:spacing w:val="-4"/>
          <w:sz w:val="18"/>
          <w:lang w:eastAsia="zh-CN"/>
        </w:rPr>
        <w:t>, обед.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 </w:t>
      </w:r>
      <w:r w:rsidR="005915F2">
        <w:rPr>
          <w:rFonts w:eastAsia="SimSun"/>
          <w:b/>
          <w:spacing w:val="-4"/>
          <w:sz w:val="18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szCs w:val="18"/>
          <w:lang w:eastAsia="zh-CN"/>
        </w:rPr>
        <w:t>В продаже будет литература</w:t>
      </w:r>
      <w:r w:rsidRPr="00895E54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895E54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895E54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895E54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895E54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895E54">
        <w:rPr>
          <w:sz w:val="18"/>
          <w:szCs w:val="18"/>
        </w:rPr>
        <w:t xml:space="preserve">БИК 045004867   К\С 30101810250040000867   </w:t>
      </w:r>
      <w:r w:rsidRPr="00895E54">
        <w:rPr>
          <w:rStyle w:val="a5"/>
          <w:bCs/>
          <w:sz w:val="18"/>
          <w:szCs w:val="18"/>
        </w:rPr>
        <w:t>Ф-л Сибирский ПАО Банк "ФК Открытие"</w:t>
      </w:r>
      <w:r w:rsidRPr="00895E54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895E54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895E54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895E54">
        <w:rPr>
          <w:rFonts w:eastAsia="SimSun"/>
          <w:sz w:val="17"/>
          <w:szCs w:val="17"/>
          <w:lang w:eastAsia="zh-CN"/>
        </w:rPr>
        <w:t>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895E54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895E54">
        <w:rPr>
          <w:rFonts w:eastAsia="SimSun"/>
          <w:b/>
          <w:u w:val="single"/>
          <w:lang w:eastAsia="zh-CN"/>
        </w:rPr>
        <w:t>:</w:t>
      </w:r>
      <w:r w:rsidR="00AA0137" w:rsidRPr="00895E54">
        <w:rPr>
          <w:rFonts w:eastAsia="SimSun"/>
          <w:b/>
          <w:u w:val="single"/>
          <w:lang w:eastAsia="zh-CN"/>
        </w:rPr>
        <w:t xml:space="preserve"> на </w:t>
      </w:r>
      <w:r w:rsidR="00987500" w:rsidRPr="00895E54">
        <w:rPr>
          <w:rFonts w:eastAsia="SimSun"/>
          <w:b/>
          <w:noProof/>
          <w:sz w:val="28"/>
          <w:szCs w:val="28"/>
        </w:rPr>
        <w:drawing>
          <wp:inline distT="0" distB="0" distL="0" distR="0" wp14:anchorId="5AF2BBEA" wp14:editId="2D1FEA08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E54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</w:t>
      </w:r>
      <w:r w:rsidR="00AA0137" w:rsidRPr="00895E54">
        <w:rPr>
          <w:rFonts w:eastAsia="SimSun"/>
          <w:color w:val="000000"/>
          <w:sz w:val="16"/>
          <w:szCs w:val="16"/>
          <w:lang w:eastAsia="zh-CN"/>
        </w:rPr>
        <w:t>, телефон</w:t>
      </w:r>
      <w:r w:rsidRPr="00895E54">
        <w:rPr>
          <w:rFonts w:eastAsia="SimSun"/>
          <w:color w:val="000000"/>
          <w:sz w:val="16"/>
          <w:szCs w:val="16"/>
          <w:lang w:eastAsia="zh-CN"/>
        </w:rPr>
        <w:t>)</w:t>
      </w:r>
    </w:p>
    <w:p w:rsidR="003F2F98" w:rsidRPr="005915F2" w:rsidRDefault="003F2F98" w:rsidP="005915F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895E54">
        <w:rPr>
          <w:rFonts w:eastAsia="SimSun"/>
          <w:b/>
          <w:color w:val="FF0000"/>
          <w:u w:val="single"/>
          <w:lang w:eastAsia="zh-CN"/>
        </w:rPr>
        <w:t>8(383)</w:t>
      </w:r>
      <w:r w:rsidRPr="00895E54">
        <w:rPr>
          <w:rFonts w:eastAsia="SimSun"/>
          <w:color w:val="FF0000"/>
          <w:u w:val="single"/>
          <w:lang w:eastAsia="zh-CN"/>
        </w:rPr>
        <w:t>–</w:t>
      </w:r>
      <w:r w:rsidRPr="00895E54">
        <w:rPr>
          <w:rFonts w:eastAsia="SimSun"/>
          <w:b/>
          <w:color w:val="FF0000"/>
          <w:u w:val="single"/>
          <w:lang w:eastAsia="zh-CN"/>
        </w:rPr>
        <w:t>209-26-61, 209-26-68,  89139364490, 89139442664</w:t>
      </w:r>
      <w:bookmarkEnd w:id="0"/>
      <w:bookmarkEnd w:id="1"/>
      <w:r w:rsidRPr="00895E54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895E54">
        <w:rPr>
          <w:b/>
          <w:noProof/>
          <w:sz w:val="16"/>
          <w:szCs w:val="16"/>
          <w:u w:val="single"/>
        </w:rPr>
        <w:drawing>
          <wp:inline distT="0" distB="0" distL="0" distR="0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895E54" w:rsidRDefault="003F2F98" w:rsidP="00DC5812">
      <w:pPr>
        <w:jc w:val="both"/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sectPr w:rsidR="003F2F98" w:rsidRPr="00895E54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E" w:rsidRDefault="00411FFE" w:rsidP="00037D6E">
      <w:r>
        <w:separator/>
      </w:r>
    </w:p>
  </w:endnote>
  <w:endnote w:type="continuationSeparator" w:id="0">
    <w:p w:rsidR="00411FFE" w:rsidRDefault="00411FFE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norm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E" w:rsidRDefault="00411FFE" w:rsidP="00037D6E">
      <w:r>
        <w:separator/>
      </w:r>
    </w:p>
  </w:footnote>
  <w:footnote w:type="continuationSeparator" w:id="0">
    <w:p w:rsidR="00411FFE" w:rsidRDefault="00411FFE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3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21"/>
  </w:num>
  <w:num w:numId="9">
    <w:abstractNumId w:val="1"/>
  </w:num>
  <w:num w:numId="10">
    <w:abstractNumId w:val="7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8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37D6E"/>
    <w:rsid w:val="00080932"/>
    <w:rsid w:val="000A07A2"/>
    <w:rsid w:val="000A29B2"/>
    <w:rsid w:val="000D04A1"/>
    <w:rsid w:val="000D5CCE"/>
    <w:rsid w:val="000E62ED"/>
    <w:rsid w:val="000F14B8"/>
    <w:rsid w:val="000F2F24"/>
    <w:rsid w:val="00127705"/>
    <w:rsid w:val="00144F38"/>
    <w:rsid w:val="0018437A"/>
    <w:rsid w:val="001A29A6"/>
    <w:rsid w:val="001B521A"/>
    <w:rsid w:val="001E62F4"/>
    <w:rsid w:val="001F284B"/>
    <w:rsid w:val="00217ED0"/>
    <w:rsid w:val="00241474"/>
    <w:rsid w:val="00286FF6"/>
    <w:rsid w:val="00297CEE"/>
    <w:rsid w:val="002D3AF5"/>
    <w:rsid w:val="002E3C65"/>
    <w:rsid w:val="002E5589"/>
    <w:rsid w:val="002F052D"/>
    <w:rsid w:val="002F265F"/>
    <w:rsid w:val="002F391A"/>
    <w:rsid w:val="00324328"/>
    <w:rsid w:val="00343FFE"/>
    <w:rsid w:val="0034625C"/>
    <w:rsid w:val="0035609B"/>
    <w:rsid w:val="003761B5"/>
    <w:rsid w:val="00377DD6"/>
    <w:rsid w:val="00380E9D"/>
    <w:rsid w:val="003850C0"/>
    <w:rsid w:val="00390FC8"/>
    <w:rsid w:val="00396207"/>
    <w:rsid w:val="003A5D74"/>
    <w:rsid w:val="003F2F98"/>
    <w:rsid w:val="00411FFE"/>
    <w:rsid w:val="004237EC"/>
    <w:rsid w:val="00444E78"/>
    <w:rsid w:val="00445181"/>
    <w:rsid w:val="00461EF4"/>
    <w:rsid w:val="00484026"/>
    <w:rsid w:val="004A4BF0"/>
    <w:rsid w:val="00525B46"/>
    <w:rsid w:val="00547C7D"/>
    <w:rsid w:val="0056412B"/>
    <w:rsid w:val="00590F65"/>
    <w:rsid w:val="005915F2"/>
    <w:rsid w:val="0059619D"/>
    <w:rsid w:val="005A2117"/>
    <w:rsid w:val="005C6FFD"/>
    <w:rsid w:val="005D2F57"/>
    <w:rsid w:val="005D7928"/>
    <w:rsid w:val="005F20A5"/>
    <w:rsid w:val="00622562"/>
    <w:rsid w:val="00627109"/>
    <w:rsid w:val="00686DDC"/>
    <w:rsid w:val="006B4278"/>
    <w:rsid w:val="006C1075"/>
    <w:rsid w:val="006E78C8"/>
    <w:rsid w:val="00731F1F"/>
    <w:rsid w:val="00773828"/>
    <w:rsid w:val="007935E9"/>
    <w:rsid w:val="007A7B01"/>
    <w:rsid w:val="007B060A"/>
    <w:rsid w:val="007B3868"/>
    <w:rsid w:val="007C1A3C"/>
    <w:rsid w:val="007D7E53"/>
    <w:rsid w:val="00826DE6"/>
    <w:rsid w:val="00860196"/>
    <w:rsid w:val="00867747"/>
    <w:rsid w:val="008727A0"/>
    <w:rsid w:val="00891EE2"/>
    <w:rsid w:val="00895E54"/>
    <w:rsid w:val="008A1C6E"/>
    <w:rsid w:val="008C53C0"/>
    <w:rsid w:val="008D4F1C"/>
    <w:rsid w:val="008E7709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C2ED5"/>
    <w:rsid w:val="009C6348"/>
    <w:rsid w:val="009C6ADF"/>
    <w:rsid w:val="009D1CA7"/>
    <w:rsid w:val="00A652AB"/>
    <w:rsid w:val="00A93935"/>
    <w:rsid w:val="00AA0137"/>
    <w:rsid w:val="00AB5213"/>
    <w:rsid w:val="00AD39F4"/>
    <w:rsid w:val="00AF1905"/>
    <w:rsid w:val="00B07323"/>
    <w:rsid w:val="00B47A32"/>
    <w:rsid w:val="00B64A1A"/>
    <w:rsid w:val="00B70E4A"/>
    <w:rsid w:val="00B7467F"/>
    <w:rsid w:val="00B86143"/>
    <w:rsid w:val="00BE6CA6"/>
    <w:rsid w:val="00BE6CD2"/>
    <w:rsid w:val="00C23A97"/>
    <w:rsid w:val="00C5101F"/>
    <w:rsid w:val="00C80E01"/>
    <w:rsid w:val="00CB38A4"/>
    <w:rsid w:val="00CB623D"/>
    <w:rsid w:val="00CD1060"/>
    <w:rsid w:val="00CF6A0F"/>
    <w:rsid w:val="00D11486"/>
    <w:rsid w:val="00D207BF"/>
    <w:rsid w:val="00D2318A"/>
    <w:rsid w:val="00D54557"/>
    <w:rsid w:val="00D6503C"/>
    <w:rsid w:val="00D67A11"/>
    <w:rsid w:val="00D813D6"/>
    <w:rsid w:val="00D96772"/>
    <w:rsid w:val="00D9734D"/>
    <w:rsid w:val="00DA6CC1"/>
    <w:rsid w:val="00DB49BC"/>
    <w:rsid w:val="00DC5812"/>
    <w:rsid w:val="00DC5926"/>
    <w:rsid w:val="00DD46C2"/>
    <w:rsid w:val="00DF2291"/>
    <w:rsid w:val="00E26A05"/>
    <w:rsid w:val="00E74607"/>
    <w:rsid w:val="00E90824"/>
    <w:rsid w:val="00ED44F8"/>
    <w:rsid w:val="00EE46EB"/>
    <w:rsid w:val="00EF4FEA"/>
    <w:rsid w:val="00EF5E94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2019-12-02T03:57:00Z</dcterms:created>
  <dcterms:modified xsi:type="dcterms:W3CDTF">2019-12-02T03:57:00Z</dcterms:modified>
</cp:coreProperties>
</file>