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77777777" w:rsidR="00585378" w:rsidRPr="00D72C8E" w:rsidRDefault="00585378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bookmarkStart w:id="1" w:name="_GoBack"/>
      <w:bookmarkEnd w:id="1"/>
      <w:r w:rsidRPr="00D72C8E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35082976">
            <wp:simplePos x="0" y="0"/>
            <wp:positionH relativeFrom="column">
              <wp:posOffset>133985</wp:posOffset>
            </wp:positionH>
            <wp:positionV relativeFrom="paragraph">
              <wp:posOffset>-18415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C8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бухгалтерам </w:t>
      </w:r>
    </w:p>
    <w:p w14:paraId="6DE32FA7" w14:textId="77777777" w:rsidR="00585378" w:rsidRPr="00D72C8E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D72C8E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D72C8E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3D7E7BC7" w14:textId="7BF7A556" w:rsidR="00585378" w:rsidRPr="00110E35" w:rsidRDefault="00585378" w:rsidP="00110E35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D72C8E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C8E">
        <w:rPr>
          <w:rStyle w:val="a5"/>
          <w:color w:val="000000"/>
          <w:sz w:val="18"/>
          <w:szCs w:val="18"/>
        </w:rPr>
        <w:t xml:space="preserve"> </w:t>
      </w:r>
      <w:r w:rsidRPr="00D72C8E">
        <w:rPr>
          <w:rStyle w:val="a5"/>
          <w:color w:val="000000"/>
          <w:sz w:val="18"/>
          <w:szCs w:val="18"/>
          <w:u w:val="double"/>
        </w:rPr>
        <w:t xml:space="preserve">  </w:t>
      </w:r>
      <w:r w:rsidRPr="00D72C8E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  <w:r w:rsidRPr="00D72C8E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D72C8E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D72C8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D72C8E">
        <w:rPr>
          <w:b w:val="0"/>
          <w:bCs/>
          <w:sz w:val="14"/>
          <w:szCs w:val="14"/>
        </w:rPr>
        <w:t>проводит</w:t>
      </w:r>
      <w:r w:rsidRPr="00D72C8E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6F7EC75" w:rsidR="00585378" w:rsidRPr="00D72C8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2C8E">
        <w:rPr>
          <w:b w:val="0"/>
          <w:bCs/>
          <w:sz w:val="12"/>
          <w:szCs w:val="12"/>
          <w:highlight w:val="yellow"/>
        </w:rPr>
        <w:t xml:space="preserve"> </w:t>
      </w:r>
      <w:r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D72C8E"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профстандартов</w:t>
      </w:r>
      <w:r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D72C8E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D72C8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D72C8E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76CCC114" w:rsidR="00585378" w:rsidRPr="00D72C8E" w:rsidRDefault="005F72A9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11-12 Декабря</w:t>
      </w:r>
      <w:r w:rsidR="001475D8" w:rsidRPr="00D72C8E">
        <w:rPr>
          <w:smallCaps/>
          <w:color w:val="FF0000"/>
          <w:sz w:val="36"/>
          <w:szCs w:val="36"/>
          <w:u w:val="single"/>
        </w:rPr>
        <w:t xml:space="preserve"> </w:t>
      </w:r>
      <w:r w:rsidR="00D72C8E" w:rsidRPr="00D72C8E">
        <w:rPr>
          <w:smallCaps/>
          <w:color w:val="FF0000"/>
          <w:sz w:val="36"/>
          <w:szCs w:val="36"/>
          <w:u w:val="single"/>
        </w:rPr>
        <w:t xml:space="preserve"> 2025</w:t>
      </w:r>
    </w:p>
    <w:p w14:paraId="4FAF027C" w14:textId="77777777" w:rsidR="00585378" w:rsidRPr="00D72C8E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D72C8E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D72C8E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2C8E">
        <w:rPr>
          <w:b w:val="0"/>
          <w:bCs/>
          <w:sz w:val="16"/>
          <w:szCs w:val="16"/>
        </w:rPr>
        <w:t xml:space="preserve"> </w:t>
      </w:r>
      <w:r w:rsidRPr="00D72C8E">
        <w:rPr>
          <w:sz w:val="12"/>
          <w:szCs w:val="12"/>
        </w:rPr>
        <w:t xml:space="preserve"> </w:t>
      </w:r>
      <w:r w:rsidRPr="00D72C8E">
        <w:rPr>
          <w:sz w:val="14"/>
          <w:szCs w:val="14"/>
        </w:rPr>
        <w:t xml:space="preserve">в программе:  </w:t>
      </w:r>
    </w:p>
    <w:p w14:paraId="62466458" w14:textId="77777777" w:rsidR="00585378" w:rsidRPr="00D72C8E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D72C8E">
        <w:rPr>
          <w:b/>
          <w:bCs/>
          <w:sz w:val="12"/>
          <w:szCs w:val="12"/>
        </w:rPr>
        <w:t>_____________________________________________________________</w:t>
      </w:r>
      <w:r w:rsidRPr="00D72C8E">
        <w:rPr>
          <w:b/>
          <w:bCs/>
          <w:sz w:val="4"/>
          <w:szCs w:val="4"/>
        </w:rPr>
        <w:t>_</w:t>
      </w:r>
      <w:r w:rsidRPr="00D72C8E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D72C8E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D72C8E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D72C8E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D72C8E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D72C8E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D72C8E">
        <w:rPr>
          <w:bCs/>
          <w:sz w:val="20"/>
          <w:szCs w:val="20"/>
          <w:highlight w:val="yellow"/>
        </w:rPr>
        <w:t>Для профессионального стандарта "</w:t>
      </w:r>
      <w:r w:rsidRPr="00D72C8E">
        <w:rPr>
          <w:b/>
          <w:sz w:val="20"/>
          <w:szCs w:val="20"/>
          <w:highlight w:val="yellow"/>
        </w:rPr>
        <w:t>БУХГАЛТЕР"</w:t>
      </w:r>
      <w:r w:rsidRPr="00D72C8E">
        <w:rPr>
          <w:bCs/>
          <w:sz w:val="20"/>
          <w:szCs w:val="20"/>
          <w:highlight w:val="yellow"/>
        </w:rPr>
        <w:t xml:space="preserve"> </w:t>
      </w:r>
      <w:r w:rsidRPr="00D72C8E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D72C8E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D72C8E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D72C8E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D72C8E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D72C8E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D72C8E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D72C8E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D72C8E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D72C8E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D72C8E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D72C8E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D72C8E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66F5D5D7" w14:textId="77777777" w:rsidR="005F72A9" w:rsidRPr="005F72A9" w:rsidRDefault="005F72A9" w:rsidP="005F72A9">
      <w:pPr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highlight w:val="yellow"/>
        </w:rPr>
      </w:pP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</w:rPr>
        <w:t>«</w:t>
      </w: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</w:rPr>
        <w:t>Подготовка к отчетности за 2025 год</w:t>
      </w: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</w:rPr>
        <w:t xml:space="preserve"> государственными (муниципальными) учреждениями. </w:t>
      </w:r>
    </w:p>
    <w:p w14:paraId="6EBF9887" w14:textId="77777777" w:rsidR="005F72A9" w:rsidRPr="005F72A9" w:rsidRDefault="005F72A9" w:rsidP="00FC51F1">
      <w:pPr>
        <w:spacing w:before="40"/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highlight w:val="yellow"/>
          <w:u w:val="single"/>
        </w:rPr>
      </w:pP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</w:rPr>
        <w:t xml:space="preserve">Изменения в законодательстве 2025 года. </w:t>
      </w:r>
    </w:p>
    <w:p w14:paraId="2AF05B41" w14:textId="00198994" w:rsidR="005F72A9" w:rsidRPr="005F72A9" w:rsidRDefault="005F72A9" w:rsidP="00FC51F1">
      <w:pPr>
        <w:spacing w:before="40"/>
        <w:jc w:val="center"/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</w:pP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</w:rPr>
        <w:t>Подготовка к переходу на новые ФСБУ 2026 года»</w:t>
      </w:r>
    </w:p>
    <w:p w14:paraId="725721EA" w14:textId="77777777" w:rsidR="00585378" w:rsidRPr="00D72C8E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D72C8E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5F72A9" w:rsidRDefault="00585378" w:rsidP="003D3F26">
      <w:pPr>
        <w:pStyle w:val="1"/>
        <w:spacing w:before="0" w:beforeAutospacing="0" w:after="0" w:afterAutospacing="0"/>
        <w:jc w:val="center"/>
        <w:rPr>
          <w:sz w:val="22"/>
          <w:szCs w:val="22"/>
          <w:lang w:val="x-none"/>
        </w:rPr>
      </w:pPr>
      <w:r w:rsidRPr="005F72A9">
        <w:rPr>
          <w:rStyle w:val="a6"/>
          <w:sz w:val="22"/>
          <w:szCs w:val="22"/>
          <w:lang w:val="x-none"/>
        </w:rPr>
        <w:t>(для казенных, бюджетных, автономных учреждений</w:t>
      </w:r>
      <w:r w:rsidRPr="005F72A9">
        <w:rPr>
          <w:rStyle w:val="a6"/>
          <w:sz w:val="22"/>
          <w:szCs w:val="22"/>
        </w:rPr>
        <w:t>, органов власти</w:t>
      </w:r>
      <w:r w:rsidRPr="005F72A9">
        <w:rPr>
          <w:rStyle w:val="a6"/>
          <w:sz w:val="22"/>
          <w:szCs w:val="22"/>
          <w:lang w:val="x-none"/>
        </w:rPr>
        <w:t>)</w:t>
      </w:r>
    </w:p>
    <w:p w14:paraId="57D9B3B9" w14:textId="77777777" w:rsidR="00585378" w:rsidRPr="00D72C8E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D72C8E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D72C8E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3D3E0B12" w:rsidR="00585378" w:rsidRPr="00D72C8E" w:rsidRDefault="00585378" w:rsidP="00585378">
      <w:pPr>
        <w:ind w:left="284"/>
        <w:jc w:val="center"/>
        <w:rPr>
          <w:b/>
          <w:color w:val="7030A0"/>
          <w:sz w:val="22"/>
          <w:szCs w:val="22"/>
        </w:rPr>
      </w:pPr>
      <w:r w:rsidRPr="00D72C8E">
        <w:rPr>
          <w:b/>
          <w:color w:val="7030A0"/>
        </w:rPr>
        <w:t xml:space="preserve">на площадке </w:t>
      </w:r>
      <w:r w:rsidR="00864BFB" w:rsidRPr="00D72C8E">
        <w:rPr>
          <w:b/>
          <w:color w:val="7030A0"/>
          <w:sz w:val="22"/>
          <w:szCs w:val="22"/>
        </w:rPr>
        <w:t xml:space="preserve">МТС </w:t>
      </w:r>
      <w:r w:rsidR="00864BFB" w:rsidRPr="00D72C8E">
        <w:rPr>
          <w:b/>
          <w:color w:val="7030A0"/>
          <w:sz w:val="22"/>
          <w:szCs w:val="22"/>
          <w:lang w:val="en-US"/>
        </w:rPr>
        <w:t>Link</w:t>
      </w:r>
    </w:p>
    <w:p w14:paraId="174EA30F" w14:textId="613B77D6" w:rsidR="005F72A9" w:rsidRPr="00CC458D" w:rsidRDefault="005F72A9" w:rsidP="00CC458D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rPr>
          <w:b/>
          <w:color w:val="FF0000"/>
          <w:sz w:val="26"/>
          <w:szCs w:val="26"/>
        </w:rPr>
      </w:pPr>
      <w:r w:rsidRPr="00CC458D">
        <w:rPr>
          <w:b/>
          <w:color w:val="FF0000"/>
          <w:sz w:val="26"/>
          <w:szCs w:val="26"/>
        </w:rPr>
        <w:t xml:space="preserve">Бюджетная (бухгалтерская) отчётность: </w:t>
      </w:r>
    </w:p>
    <w:p w14:paraId="3ED221E8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Разъяснения МФ РФ по применению отдельных счетов учета. </w:t>
      </w:r>
    </w:p>
    <w:p w14:paraId="1E6BA89C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Изменения, внесённые в Инструкции № 33н и № 191н, о порядке составления, представления годовой, квартальной бухгалтерской отчётности государственных (муниципальных) бюджетных и автономных учреждений и об исполнении бюджетов бюджетной системы РФ. Квалификация нарушений требований к составлению (представлению) бюджетной, бухгалтерской (финансовой) отчетности, повлекших искажение информации об активах, обязательствах и финансовом результате. </w:t>
      </w:r>
    </w:p>
    <w:p w14:paraId="23302EA8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Размещение отчетности в сети Интернет.</w:t>
      </w:r>
    </w:p>
    <w:p w14:paraId="0A7AAF89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Отражение информации о балансовой и остаточной стоимости объектов ОС, изъятых из эксплуатации или удерживаемых до их выбытия, в Пояснительной записке к балансу учреждения.</w:t>
      </w:r>
    </w:p>
    <w:p w14:paraId="1FACDFB5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Об отражении денежных обязательств, подлежащих исполнению в следующем финансовом году, в форме 0503738, сумм амортизации в форме 0503768 и заполнении формы 0503790. Положение о санкционировании расходов – особенности отражения принятых, денежных, отложенных и принимаемых обязательств.</w:t>
      </w:r>
    </w:p>
    <w:p w14:paraId="460EDA6D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Отражение в Отчете (ф. 0503737) поступлений, учитываемых по статье 130 «Доходы от оказания платных услуг (работ), компенсаций затрат»; отражение плановых назначений по доходам, расходам и источникам финансирования дефицита средств учреждения и показателя изменения остатков его денежных средств.</w:t>
      </w:r>
    </w:p>
    <w:p w14:paraId="42DE5FDD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Отражение в учете счетов санкционирования: особенности отражения в учете принятых, денежных, принимаемых обязательств. </w:t>
      </w:r>
    </w:p>
    <w:p w14:paraId="68107A13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Новые правила в методологии бюджетной (бухгалтерской) отчётности. </w:t>
      </w:r>
    </w:p>
    <w:p w14:paraId="5B280E1B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Отражение в учете кадастровой стоимости земельных участков. Изменение стоимости в 2026 году</w:t>
      </w:r>
    </w:p>
    <w:p w14:paraId="2AB20E88" w14:textId="23F73182" w:rsidR="005F72A9" w:rsidRPr="00C4264B" w:rsidRDefault="005F72A9" w:rsidP="005A2FB3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Cs/>
          <w:iCs/>
          <w:sz w:val="22"/>
          <w:szCs w:val="22"/>
        </w:rPr>
      </w:pPr>
      <w:r w:rsidRPr="00CC458D">
        <w:rPr>
          <w:b/>
          <w:color w:val="FF0000"/>
          <w:sz w:val="26"/>
          <w:szCs w:val="26"/>
        </w:rPr>
        <w:t>Проведение инвентаризации имущества и обязательств в 2025 году.</w:t>
      </w:r>
      <w:r w:rsidRPr="00C4264B">
        <w:rPr>
          <w:b/>
          <w:i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>О подтверждении передачи ответственным лицом в рамках инвентаризации в организациях госсектора первичных учетных (сводных) документов, подтверждающих операции с объектами инвентаризации.</w:t>
      </w:r>
      <w:r w:rsidRPr="00C4264B">
        <w:rPr>
          <w:b/>
          <w:i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>О заполнении графы 11 разд. 1 Решения о проведении инвентаризации (ф. 0510439) в части указания способа проведения инвентаризации.</w:t>
      </w:r>
      <w:r w:rsidRPr="00C4264B">
        <w:rPr>
          <w:b/>
          <w:i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 xml:space="preserve">Организация внутреннего контроля с 01.01.2026 года. </w:t>
      </w:r>
      <w:r w:rsidRPr="00C4264B">
        <w:rPr>
          <w:bCs/>
          <w:iCs/>
          <w:sz w:val="22"/>
          <w:szCs w:val="22"/>
        </w:rPr>
        <w:tab/>
        <w:t xml:space="preserve">Оформление результатов инвентаризации. Отражение в учете </w:t>
      </w:r>
      <w:r w:rsidRPr="00C4264B">
        <w:rPr>
          <w:bCs/>
          <w:iCs/>
          <w:sz w:val="22"/>
          <w:szCs w:val="22"/>
        </w:rPr>
        <w:lastRenderedPageBreak/>
        <w:t>выявленных недостач и излишков. О принятии к бухучету личных вещей работника, выявленных по результатам инвентаризации.</w:t>
      </w:r>
    </w:p>
    <w:p w14:paraId="0BE44064" w14:textId="3861EAA2" w:rsidR="005F72A9" w:rsidRPr="00C4264B" w:rsidRDefault="00C4264B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</w:t>
      </w:r>
      <w:r w:rsidR="005F72A9" w:rsidRPr="00C4264B">
        <w:rPr>
          <w:bCs/>
          <w:iCs/>
          <w:sz w:val="22"/>
          <w:szCs w:val="22"/>
        </w:rPr>
        <w:t>Инвентаризация забалансовых счетов. О применении забалансового счета 01 и исправлении ошибок в регистрах бухгалтерского (бюджетного) учета, выявленных при инвентаризации.</w:t>
      </w:r>
    </w:p>
    <w:p w14:paraId="4E86ECA8" w14:textId="59A75241" w:rsidR="005F72A9" w:rsidRPr="00C4264B" w:rsidRDefault="005F72A9" w:rsidP="005A2FB3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Cs/>
          <w:iCs/>
          <w:sz w:val="22"/>
          <w:szCs w:val="22"/>
        </w:rPr>
      </w:pPr>
      <w:r w:rsidRPr="00CC458D">
        <w:rPr>
          <w:b/>
          <w:color w:val="FF0000"/>
          <w:sz w:val="26"/>
          <w:szCs w:val="26"/>
        </w:rPr>
        <w:t>Учет дебиторской и кредиторской задолженности в 2025 году.</w:t>
      </w:r>
      <w:r w:rsidRPr="00CC458D">
        <w:rPr>
          <w:b/>
          <w:iCs/>
          <w:color w:val="FF0000"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 xml:space="preserve">Обязанность проведения инвентаризации при подготовке форм 0503169 (0503769). Контроль даты исполнения при формировании просроченной задолженности. Инвентаризация посредством электронного документооборота. Формирование претензии по погашению дебиторской задолженности. Краткосрочная и дебиторская задолженность. Списание неустоек (штрафов, пеней) за неисполнение или ненадлежащее исполнение обязательств по контракту в сфере закупок. </w:t>
      </w:r>
    </w:p>
    <w:p w14:paraId="2931C8F1" w14:textId="436ABCBF" w:rsidR="005F72A9" w:rsidRPr="00C4264B" w:rsidRDefault="00C4264B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</w:t>
      </w:r>
      <w:r w:rsidR="005F72A9" w:rsidRPr="00C4264B">
        <w:rPr>
          <w:bCs/>
          <w:iCs/>
          <w:sz w:val="22"/>
          <w:szCs w:val="22"/>
        </w:rPr>
        <w:t xml:space="preserve">Организация аналитического учета по счетам дебиторской и кредиторской задолженности на 2026 год. </w:t>
      </w:r>
    </w:p>
    <w:p w14:paraId="75F68C35" w14:textId="4C5F4CD9" w:rsidR="005F72A9" w:rsidRPr="005A2FB3" w:rsidRDefault="005F72A9" w:rsidP="005A2FB3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/>
          <w:iCs/>
          <w:sz w:val="26"/>
          <w:szCs w:val="26"/>
        </w:rPr>
      </w:pPr>
      <w:r w:rsidRPr="005A2FB3">
        <w:rPr>
          <w:b/>
          <w:iCs/>
          <w:color w:val="FF0000"/>
          <w:sz w:val="26"/>
          <w:szCs w:val="26"/>
        </w:rPr>
        <w:t xml:space="preserve">Федеральный закон РФ от 24.06.2025 № 1568-ФЗ «О внесении изменений в Бюджетный кодекс РФ». </w:t>
      </w:r>
    </w:p>
    <w:p w14:paraId="0E6DB21C" w14:textId="719D7E44" w:rsidR="005F72A9" w:rsidRPr="00C4264B" w:rsidRDefault="005F72A9" w:rsidP="005A2FB3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>Построение графика документооборота в связи с требованиями перехода на ФСБУ с 01.01.2026 года.</w:t>
      </w:r>
      <w:r w:rsidRPr="00CC458D">
        <w:rPr>
          <w:rFonts w:ascii="Times New Roman" w:hAnsi="Times New Roman"/>
          <w:b/>
          <w:bCs/>
          <w:color w:val="FF0000"/>
        </w:rPr>
        <w:t xml:space="preserve"> </w:t>
      </w:r>
      <w:r w:rsidRPr="00C4264B">
        <w:rPr>
          <w:rFonts w:ascii="Times New Roman" w:hAnsi="Times New Roman"/>
        </w:rPr>
        <w:t>Общие требования к формированию графика документооборота. Понятие документооборота, требования к увязке документов. Маршрут документов. Ознакомление работников с графиком документооборота и ответственностью за несоблюдение. Сведения, отражаемые в графике документооборота. Уточнение данных в графике документооборота в части отражения в журналах операций в соответствии с приказом МФ РФ № 121н (письмо МФ РФ от 30.06.2025 N 02-07-08/63940).</w:t>
      </w:r>
    </w:p>
    <w:p w14:paraId="2156A288" w14:textId="0403958A" w:rsidR="005F72A9" w:rsidRPr="00CC458D" w:rsidRDefault="005F72A9" w:rsidP="005A2FB3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Завершение финансового года по налоговым платежам. Сверка с ФНС. </w:t>
      </w:r>
    </w:p>
    <w:p w14:paraId="13A60464" w14:textId="37140CF5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>Ошибки текущего года, ошибки прошлых лет – отражение в учете и отчетности</w:t>
      </w:r>
      <w:r w:rsidRPr="00C4264B">
        <w:rPr>
          <w:rFonts w:ascii="Times New Roman" w:hAnsi="Times New Roman"/>
          <w:b/>
          <w:bCs/>
          <w:i/>
          <w:iCs/>
        </w:rPr>
        <w:t>.</w:t>
      </w:r>
      <w:r w:rsidRPr="00C4264B">
        <w:rPr>
          <w:rFonts w:ascii="Times New Roman" w:hAnsi="Times New Roman"/>
        </w:rPr>
        <w:t xml:space="preserve"> Позднее поступление первичных учетных документов. Ответственность руководителей за организацию учета. Даты принятия к учету документов, поступившие с опозданием. События после отчетной даты. </w:t>
      </w:r>
    </w:p>
    <w:p w14:paraId="630320A8" w14:textId="257423EE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>Резервы предстоящих расходов и доходы будущих периодов</w:t>
      </w:r>
      <w:r w:rsidRPr="00C4264B">
        <w:rPr>
          <w:rFonts w:ascii="Times New Roman" w:hAnsi="Times New Roman"/>
          <w:b/>
          <w:bCs/>
          <w:i/>
          <w:iCs/>
        </w:rPr>
        <w:t xml:space="preserve">. </w:t>
      </w:r>
      <w:r w:rsidRPr="00C4264B">
        <w:rPr>
          <w:rFonts w:ascii="Times New Roman" w:hAnsi="Times New Roman"/>
        </w:rPr>
        <w:t xml:space="preserve">Особенности формирования резервов в отчетности за 2025 год. Применение даты «31.12.2999». </w:t>
      </w:r>
    </w:p>
    <w:p w14:paraId="0A08ACF1" w14:textId="588293D5" w:rsidR="005F72A9" w:rsidRPr="00CC458D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contextualSpacing w:val="0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CC458D">
        <w:rPr>
          <w:rFonts w:ascii="Times New Roman" w:hAnsi="Times New Roman"/>
          <w:b/>
          <w:bCs/>
          <w:color w:val="FF0000"/>
          <w:sz w:val="26"/>
          <w:szCs w:val="26"/>
        </w:rPr>
        <w:t>Новые нормативные акты, вступившие в силу с 01.09.2025 года.</w:t>
      </w:r>
    </w:p>
    <w:p w14:paraId="09DF6036" w14:textId="2458FBD7" w:rsidR="005F72A9" w:rsidRPr="00C4264B" w:rsidRDefault="00C4264B" w:rsidP="00C4264B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Новое Положение о направлении работников в служебные командировки (Постановление Правительства РФ от 16.04.2025 N 501)</w:t>
      </w:r>
      <w:r w:rsidR="005F72A9" w:rsidRPr="00C4264B">
        <w:rPr>
          <w:rFonts w:ascii="Times New Roman" w:hAnsi="Times New Roman"/>
          <w:i/>
          <w:iCs/>
        </w:rPr>
        <w:t>.</w:t>
      </w:r>
      <w:r w:rsidR="005F72A9" w:rsidRPr="00C4264B">
        <w:rPr>
          <w:rFonts w:ascii="Times New Roman" w:hAnsi="Times New Roman"/>
        </w:rPr>
        <w:t xml:space="preserve"> Внесение изменений в локальные акты организации. Особенности оплаты рабочего времени во время командировки (ночные часы, оплата привлечения работника к командировке в выходной день, либо предоставление дня отдыха). Отражение командировочных расходов в РСВ (разъяснения МФ РФ). Документальное оформление командировок.</w:t>
      </w:r>
    </w:p>
    <w:p w14:paraId="597AB61B" w14:textId="6D749520" w:rsidR="005F72A9" w:rsidRPr="00C4264B" w:rsidRDefault="00C4264B" w:rsidP="00C4264B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Новый расчет среднего заработка с 01 сентября 2025 года (Постановление Правительства РФ от 24.04.2025 N 540).</w:t>
      </w:r>
      <w:r w:rsidR="005F72A9" w:rsidRPr="00C4264B">
        <w:rPr>
          <w:rFonts w:ascii="Times New Roman" w:hAnsi="Times New Roman"/>
        </w:rPr>
        <w:t xml:space="preserve"> Отмена Постановления Правительства РФ от 24.12.2007 №922. Уточен порядок расчета выходного пособия. Расчет среднего заработка при отсутствии расчетного периода.</w:t>
      </w:r>
    </w:p>
    <w:p w14:paraId="53A91661" w14:textId="15B9BA2E" w:rsidR="005F72A9" w:rsidRPr="00C4264B" w:rsidRDefault="00C4264B" w:rsidP="00C4264B">
      <w:pPr>
        <w:pStyle w:val="af"/>
        <w:tabs>
          <w:tab w:val="left" w:pos="284"/>
        </w:tabs>
        <w:spacing w:after="0" w:line="240" w:lineRule="auto"/>
        <w:ind w:left="0" w:right="-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Изменения в ТК РФ с 2025 года.</w:t>
      </w:r>
      <w:r w:rsidR="005F72A9" w:rsidRPr="00C4264B">
        <w:rPr>
          <w:rFonts w:ascii="Times New Roman" w:hAnsi="Times New Roman"/>
          <w:b/>
          <w:bCs/>
          <w:color w:val="C00000"/>
        </w:rPr>
        <w:t xml:space="preserve"> </w:t>
      </w:r>
      <w:r w:rsidR="005F72A9" w:rsidRPr="00C4264B">
        <w:rPr>
          <w:rFonts w:ascii="Times New Roman" w:hAnsi="Times New Roman"/>
        </w:rPr>
        <w:t>Оплата труда в выходные и праздничные дни (предоставления дней отдыха). Преимущественное право на оставление на работе при сокращении численности или штата работников. О лишении премии.</w:t>
      </w:r>
    </w:p>
    <w:p w14:paraId="18CC68A6" w14:textId="53C0BEC0" w:rsidR="005F72A9" w:rsidRPr="00C4264B" w:rsidRDefault="00C4264B" w:rsidP="00C4264B">
      <w:pPr>
        <w:pStyle w:val="af"/>
        <w:tabs>
          <w:tab w:val="left" w:pos="284"/>
        </w:tabs>
        <w:spacing w:after="0" w:line="240" w:lineRule="auto"/>
        <w:ind w:left="0" w:right="-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МОЛы и ОЛ – нормативное регулирование деятельности работников, закрепление ответственности. Приказ Минтруда России от 16.04.2025 N 251н</w:t>
      </w:r>
      <w:r w:rsidR="005F72A9" w:rsidRPr="00C4264B">
        <w:rPr>
          <w:rFonts w:ascii="Times New Roman" w:hAnsi="Times New Roman"/>
          <w:b/>
          <w:bCs/>
        </w:rPr>
        <w:t xml:space="preserve"> </w:t>
      </w:r>
      <w:r w:rsidR="005F72A9" w:rsidRPr="00C4264B">
        <w:rPr>
          <w:rFonts w:ascii="Times New Roman" w:hAnsi="Times New Roman"/>
        </w:rPr>
        <w:t>(применяется с 01.09.2025 года). 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</w:t>
      </w:r>
    </w:p>
    <w:p w14:paraId="74D760DF" w14:textId="41F97EE8" w:rsidR="005F72A9" w:rsidRPr="00CC458D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Изменение бюджетной классификации с 01.01.2026 года (приказ МФ РФ от 29.08.2025 № 117н). </w:t>
      </w:r>
    </w:p>
    <w:p w14:paraId="05AC508A" w14:textId="42197949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Требования к организации внутреннего контроля с 01.01.2026 (приказ МФ РФ от 14.02.2025 № 15н). </w:t>
      </w:r>
      <w:r w:rsidRPr="00C4264B">
        <w:rPr>
          <w:rFonts w:ascii="Times New Roman" w:hAnsi="Times New Roman"/>
        </w:rPr>
        <w:t xml:space="preserve">Разработка положения по внутреннему контролю оформления фактов хозяйственной жизни и ведения бухгалтерского учета. Действия внутреннего контроля. Информационное уведомление при выявлении рисков, ошибок, недочетов. </w:t>
      </w:r>
    </w:p>
    <w:p w14:paraId="3E9A659F" w14:textId="6C7C0413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color w:val="FF0000"/>
          <w:sz w:val="26"/>
          <w:szCs w:val="26"/>
        </w:rPr>
        <w:t>Приказ Минфина России от 30.08.2024 N 121н</w:t>
      </w:r>
      <w:r w:rsidRPr="00C4264B">
        <w:rPr>
          <w:rFonts w:ascii="Times New Roman" w:hAnsi="Times New Roman"/>
        </w:rPr>
        <w:t xml:space="preserve">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финансов». Сравнительный анализ Единого плана счетов в соответствии с приказом №157н и 121н. Требования к формированию Плана счетов. Признаки активных и пассивных счетов – контроль допускаемых ошибок в учете. Ответственность руководителя и главного бухгалтера за искажение данных учета и отчетности в связи с несвоевременным предоставлением первичных документов. Действия главного бухгалтера в связи с непредоставлением своевременно документов. Требования к аналитическому учету. Отсылка в Едином плане счетов к ФСБУ. Систематизация первичных (сводных) учетных документов, сформированных на бумажном носителе, систематизация данных.</w:t>
      </w:r>
    </w:p>
    <w:p w14:paraId="44395409" w14:textId="733E7222" w:rsidR="005F72A9" w:rsidRPr="00C4264B" w:rsidRDefault="005F72A9" w:rsidP="00C4264B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lastRenderedPageBreak/>
        <w:t xml:space="preserve">Приказы МФ РФ от 20.09.2024 № 132н и 133н, от 29.08.2025 № 118н и 119н </w:t>
      </w:r>
      <w:r w:rsidRPr="00C4264B">
        <w:rPr>
          <w:rFonts w:ascii="Times New Roman" w:hAnsi="Times New Roman"/>
        </w:rPr>
        <w:t>– увязка корреспонденции счетов с первичными учетными документами. Особенности отражения бухгалтерских записей в электронном первичном учетном документе. Закрепление корреспонденции счетов в графике документооборота – шпаргалка для бухгалтера для разработки маршрутизатора документов в системе ЭДО.</w:t>
      </w:r>
    </w:p>
    <w:p w14:paraId="456EB7E2" w14:textId="394EC6FC" w:rsidR="00D72C8E" w:rsidRDefault="00D72C8E" w:rsidP="00CC458D">
      <w:pPr>
        <w:pStyle w:val="af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</w:rPr>
      </w:pPr>
      <w:r w:rsidRPr="00421F32">
        <w:rPr>
          <w:rFonts w:ascii="Times New Roman" w:hAnsi="Times New Roman"/>
          <w:b/>
          <w:color w:val="FF0000"/>
        </w:rPr>
        <w:t>Ответы на вопросы слушателей.</w:t>
      </w:r>
    </w:p>
    <w:p w14:paraId="1E348DC9" w14:textId="77777777" w:rsidR="00CC458D" w:rsidRPr="00421F32" w:rsidRDefault="00CC458D" w:rsidP="00CC458D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color w:val="FF0000"/>
        </w:rPr>
      </w:pPr>
    </w:p>
    <w:p w14:paraId="1A286377" w14:textId="77777777" w:rsidR="00585378" w:rsidRPr="00D72C8E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25D6A67E" w14:textId="77777777" w:rsidR="00421F32" w:rsidRPr="00B17365" w:rsidRDefault="00421F32" w:rsidP="00CC458D">
      <w:pPr>
        <w:autoSpaceDE w:val="0"/>
        <w:autoSpaceDN w:val="0"/>
        <w:adjustRightInd w:val="0"/>
        <w:spacing w:before="40"/>
        <w:jc w:val="center"/>
        <w:outlineLvl w:val="0"/>
        <w:rPr>
          <w:sz w:val="16"/>
          <w:szCs w:val="16"/>
        </w:rPr>
      </w:pPr>
      <w:r w:rsidRPr="00B17365">
        <w:rPr>
          <w:b/>
          <w:i/>
          <w:sz w:val="16"/>
          <w:szCs w:val="16"/>
        </w:rPr>
        <w:t xml:space="preserve">Читает: </w:t>
      </w:r>
      <w:r w:rsidRPr="00421F32">
        <w:rPr>
          <w:b/>
          <w:i/>
          <w:color w:val="FF0000"/>
          <w:sz w:val="28"/>
          <w:szCs w:val="28"/>
          <w:highlight w:val="yellow"/>
          <w:u w:val="single"/>
        </w:rPr>
        <w:t>Стрельцова Марина Александровна</w:t>
      </w:r>
      <w:r w:rsidRPr="00B17365">
        <w:rPr>
          <w:b/>
          <w:i/>
        </w:rPr>
        <w:t xml:space="preserve"> </w:t>
      </w:r>
      <w:r w:rsidRPr="00B17365">
        <w:rPr>
          <w:b/>
          <w:sz w:val="14"/>
          <w:szCs w:val="14"/>
        </w:rPr>
        <w:t xml:space="preserve">-  </w:t>
      </w:r>
      <w:r w:rsidRPr="00B17365">
        <w:rPr>
          <w:spacing w:val="-4"/>
          <w:sz w:val="16"/>
          <w:szCs w:val="16"/>
        </w:rPr>
        <w:t>к.э.н.</w:t>
      </w:r>
      <w:r w:rsidRPr="00B17365">
        <w:rPr>
          <w:sz w:val="16"/>
          <w:szCs w:val="16"/>
        </w:rPr>
        <w:t>, аудитор-практик, консультант-эксперт по формированию планов ФХД государственных (муниципальных) учреждений</w:t>
      </w:r>
      <w:r>
        <w:rPr>
          <w:sz w:val="16"/>
          <w:szCs w:val="16"/>
        </w:rPr>
        <w:t>, по учету госсектора,  по заработной плате госсектора</w:t>
      </w:r>
      <w:r w:rsidRPr="00B17365">
        <w:rPr>
          <w:sz w:val="16"/>
          <w:szCs w:val="16"/>
        </w:rPr>
        <w:t xml:space="preserve">, консультант-практик с опытом работы с учреждениями </w:t>
      </w:r>
      <w:r>
        <w:rPr>
          <w:sz w:val="16"/>
          <w:szCs w:val="16"/>
        </w:rPr>
        <w:t>госсектора</w:t>
      </w:r>
      <w:r w:rsidRPr="00B17365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14:paraId="364A4845" w14:textId="77777777" w:rsidR="00585378" w:rsidRPr="00D72C8E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D72C8E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D72C8E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2C8E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0F98914D" w14:textId="7EC65B6A" w:rsidR="00E05E02" w:rsidRPr="00D72C8E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D72C8E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 за 2 дня: </w:t>
      </w:r>
      <w:r w:rsidR="00820604">
        <w:rPr>
          <w:rFonts w:eastAsia="SimSun"/>
          <w:b/>
          <w:color w:val="FF0000"/>
          <w:spacing w:val="-4"/>
          <w:u w:val="single"/>
          <w:lang w:eastAsia="zh-CN"/>
        </w:rPr>
        <w:t>АКЦИЯ</w:t>
      </w:r>
    </w:p>
    <w:p w14:paraId="68EC7D74" w14:textId="2CBF899A" w:rsidR="00421F32" w:rsidRDefault="00421F32" w:rsidP="00421F32">
      <w:pPr>
        <w:pBdr>
          <w:bottom w:val="single" w:sz="12" w:space="1" w:color="auto"/>
        </w:pBdr>
        <w:tabs>
          <w:tab w:val="left" w:pos="0"/>
          <w:tab w:val="left" w:pos="142"/>
          <w:tab w:val="center" w:pos="5386"/>
        </w:tabs>
        <w:spacing w:before="80" w:after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!!!!</w:t>
      </w:r>
      <w:r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– </w:t>
      </w:r>
      <w:r w:rsidR="0074722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92</w:t>
      </w:r>
      <w:r w:rsidRPr="00421F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Pr="00D72C8E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</w:p>
    <w:p w14:paraId="3DB2AA9D" w14:textId="08481559" w:rsidR="00820604" w:rsidRDefault="00820604" w:rsidP="00820604">
      <w:pPr>
        <w:pBdr>
          <w:bottom w:val="single" w:sz="12" w:space="1" w:color="auto"/>
        </w:pBdr>
        <w:tabs>
          <w:tab w:val="left" w:pos="0"/>
          <w:tab w:val="left" w:pos="142"/>
          <w:tab w:val="center" w:pos="5386"/>
        </w:tabs>
        <w:spacing w:before="80" w:after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</w:t>
      </w:r>
      <w:r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 </w:t>
      </w:r>
      <w:r w:rsidR="0074722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92</w:t>
      </w:r>
      <w:r w:rsidRPr="00421F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Pr="00D72C8E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</w:p>
    <w:p w14:paraId="49592698" w14:textId="77777777" w:rsidR="00421F32" w:rsidRPr="00421F32" w:rsidRDefault="00421F32" w:rsidP="00421F32">
      <w:pPr>
        <w:pBdr>
          <w:bottom w:val="single" w:sz="12" w:space="1" w:color="auto"/>
        </w:pBdr>
        <w:tabs>
          <w:tab w:val="left" w:pos="0"/>
          <w:tab w:val="left" w:pos="142"/>
          <w:tab w:val="center" w:pos="5386"/>
        </w:tabs>
        <w:spacing w:before="80" w:after="80" w:line="216" w:lineRule="auto"/>
        <w:ind w:right="-459"/>
        <w:jc w:val="center"/>
        <w:rPr>
          <w:rFonts w:eastAsia="SimSun"/>
          <w:b/>
          <w:spacing w:val="-4"/>
          <w:sz w:val="4"/>
          <w:szCs w:val="4"/>
          <w:u w:val="single"/>
          <w:lang w:eastAsia="zh-CN"/>
        </w:rPr>
      </w:pPr>
    </w:p>
    <w:p w14:paraId="04D365B0" w14:textId="4AA2BF49" w:rsidR="00630269" w:rsidRPr="00820604" w:rsidRDefault="00FC3813" w:rsidP="00820604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421F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5603C8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12000</w:t>
      </w:r>
      <w:r w:rsidR="001475D8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</w:t>
      </w:r>
      <w:r w:rsidR="00864BFB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864BFB"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 </w:t>
      </w:r>
      <w:r w:rsidR="00864BFB" w:rsidRPr="00D72C8E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603C8">
        <w:rPr>
          <w:rFonts w:eastAsia="SimSun"/>
          <w:b/>
          <w:spacing w:val="-4"/>
          <w:sz w:val="28"/>
          <w:szCs w:val="28"/>
          <w:u w:val="single"/>
          <w:lang w:eastAsia="zh-CN"/>
        </w:rPr>
        <w:t>.</w:t>
      </w:r>
      <w:r w:rsidR="00820604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 </w:t>
      </w:r>
      <w:r w:rsidR="00C90666"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5603C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01.12.2025</w:t>
      </w:r>
      <w:r w:rsidR="00630269"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– </w:t>
      </w:r>
      <w:r w:rsidR="005603C8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10200</w:t>
      </w:r>
      <w:r w:rsidR="00FC51F1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</w:t>
      </w:r>
      <w:r w:rsidR="00630269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</w:p>
    <w:p w14:paraId="06E872CA" w14:textId="77777777" w:rsidR="00FC3813" w:rsidRPr="00FC3813" w:rsidRDefault="00FC3813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10"/>
          <w:szCs w:val="10"/>
          <w:lang w:eastAsia="zh-CN"/>
        </w:rPr>
      </w:pPr>
    </w:p>
    <w:p w14:paraId="65212E40" w14:textId="7EE3DED4" w:rsidR="00585378" w:rsidRPr="00D72C8E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D72C8E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492141BC" w:rsidR="00585378" w:rsidRPr="00D72C8E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</w:p>
    <w:p w14:paraId="023F29A8" w14:textId="77777777" w:rsidR="00585378" w:rsidRPr="00D72C8E" w:rsidRDefault="00585378" w:rsidP="00585378">
      <w:pPr>
        <w:jc w:val="center"/>
        <w:rPr>
          <w:color w:val="00B050"/>
          <w:sz w:val="18"/>
          <w:szCs w:val="18"/>
        </w:rPr>
      </w:pPr>
      <w:r w:rsidRPr="00D72C8E">
        <w:rPr>
          <w:color w:val="00B050"/>
          <w:sz w:val="18"/>
          <w:szCs w:val="18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D72C8E">
        <w:rPr>
          <w:caps/>
          <w:color w:val="00B050"/>
          <w:sz w:val="18"/>
          <w:szCs w:val="18"/>
        </w:rPr>
        <w:t>впо</w:t>
      </w:r>
      <w:r w:rsidRPr="00D72C8E">
        <w:rPr>
          <w:color w:val="00B050"/>
          <w:sz w:val="18"/>
          <w:szCs w:val="18"/>
        </w:rPr>
        <w:t xml:space="preserve"> или </w:t>
      </w:r>
      <w:r w:rsidRPr="00D72C8E">
        <w:rPr>
          <w:caps/>
          <w:color w:val="00B050"/>
          <w:sz w:val="18"/>
          <w:szCs w:val="18"/>
        </w:rPr>
        <w:t>спо</w:t>
      </w:r>
      <w:r w:rsidRPr="00D72C8E">
        <w:rPr>
          <w:color w:val="00B050"/>
          <w:sz w:val="18"/>
          <w:szCs w:val="18"/>
        </w:rPr>
        <w:t>), копию свидетельства о браке (в случае изменения фамилии)</w:t>
      </w:r>
    </w:p>
    <w:p w14:paraId="4C2DC355" w14:textId="02C48E66" w:rsidR="00585378" w:rsidRPr="00110E35" w:rsidRDefault="00585378" w:rsidP="00110E35">
      <w:pPr>
        <w:spacing w:before="80"/>
        <w:jc w:val="center"/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E35">
        <w:rPr>
          <w:rFonts w:eastAsia="SimSun"/>
          <w:b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110E35"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49979B86" w14:textId="77777777" w:rsidR="00F47881" w:rsidRPr="00F47881" w:rsidRDefault="00F47881" w:rsidP="00585378">
      <w:pPr>
        <w:jc w:val="center"/>
        <w:rPr>
          <w:rFonts w:eastAsia="SimSun"/>
          <w:b/>
          <w:spacing w:val="-4"/>
          <w:sz w:val="10"/>
          <w:szCs w:val="1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AC57C3" w14:textId="08423497" w:rsidR="00FC3813" w:rsidRPr="00110E35" w:rsidRDefault="00421F32" w:rsidP="00585378">
      <w:pPr>
        <w:jc w:val="center"/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3813">
        <w:rPr>
          <w:rFonts w:eastAsia="SimSun"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585378" w:rsidRPr="00110E35">
        <w:rPr>
          <w:rFonts w:eastAsia="SimSun"/>
          <w:b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</w:p>
    <w:p w14:paraId="6933DE0E" w14:textId="25FC237B" w:rsidR="00995D76" w:rsidRPr="00FC3813" w:rsidRDefault="00FC3813" w:rsidP="00585378">
      <w:pPr>
        <w:jc w:val="center"/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3813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585378" w:rsidRPr="00FC3813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УДОСТОВЕРЕНИЕ о повышении квалификации</w:t>
      </w:r>
      <w:r w:rsidRPr="00FC3813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</w:t>
      </w:r>
      <w:r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(20-40 ак. часов)</w:t>
      </w:r>
    </w:p>
    <w:p w14:paraId="387D86C7" w14:textId="5F0C43D8" w:rsidR="00FC3813" w:rsidRDefault="00FC3813" w:rsidP="00FC3813">
      <w:pPr>
        <w:jc w:val="center"/>
        <w:rPr>
          <w:b/>
        </w:rPr>
      </w:pPr>
      <w:r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6E5EED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  после проведения</w:t>
      </w:r>
      <w:r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вебинара</w:t>
      </w:r>
      <w:r w:rsidRPr="006E5EED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Pr="006E5EED">
        <w:rPr>
          <w:b/>
          <w:color w:val="C00000"/>
        </w:rPr>
        <w:t xml:space="preserve"> </w:t>
      </w:r>
      <w:r w:rsidRPr="006E5EED">
        <w:rPr>
          <w:b/>
        </w:rPr>
        <w:t>Для последующег</w:t>
      </w:r>
      <w:r w:rsidR="00110E35">
        <w:rPr>
          <w:b/>
        </w:rPr>
        <w:t xml:space="preserve">о доступа к просмотру вебинара, </w:t>
      </w:r>
      <w:r w:rsidRPr="006E5EED">
        <w:rPr>
          <w:b/>
        </w:rPr>
        <w:t>регистрация на площадке ОБЯЗАТЕЛЬНА!!!</w:t>
      </w:r>
    </w:p>
    <w:p w14:paraId="4E68C99A" w14:textId="77777777" w:rsidR="00FC3813" w:rsidRPr="006E5EED" w:rsidRDefault="00FC3813" w:rsidP="00FC3813">
      <w:pPr>
        <w:jc w:val="center"/>
        <w:rPr>
          <w:b/>
        </w:rPr>
      </w:pPr>
    </w:p>
    <w:p w14:paraId="5899B21E" w14:textId="4DB8756C" w:rsidR="00585378" w:rsidRPr="00D72C8E" w:rsidRDefault="00585378" w:rsidP="00FC3813">
      <w:pPr>
        <w:jc w:val="center"/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</w:pPr>
      <w:r w:rsidRPr="00D72C8E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 xml:space="preserve">По окончании курса выдается удостоверение о повышении квалификации,  </w:t>
      </w:r>
      <w:r w:rsidRPr="00D72C8E">
        <w:rPr>
          <w:b/>
          <w:sz w:val="18"/>
          <w:szCs w:val="18"/>
          <w:highlight w:val="yellow"/>
          <w:u w:val="single"/>
        </w:rPr>
        <w:t>соответствующее требованиям профстандарта о повышении квалификации</w:t>
      </w:r>
      <w:r w:rsidRPr="00D72C8E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>.</w:t>
      </w:r>
    </w:p>
    <w:p w14:paraId="5BA27290" w14:textId="77777777" w:rsidR="00585378" w:rsidRPr="00D72C8E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D72C8E">
        <w:rPr>
          <w:rFonts w:eastAsia="SimSun"/>
          <w:b/>
          <w:smallCaps/>
          <w:u w:val="single"/>
          <w:lang w:eastAsia="zh-CN"/>
        </w:rPr>
        <w:t>предварительная регистрация</w:t>
      </w:r>
      <w:r w:rsidRPr="00D72C8E">
        <w:rPr>
          <w:rFonts w:eastAsia="SimSun"/>
          <w:b/>
          <w:u w:val="single"/>
          <w:lang w:eastAsia="zh-CN"/>
        </w:rPr>
        <w:t xml:space="preserve">: на </w:t>
      </w:r>
      <w:r w:rsidRPr="00D72C8E">
        <w:rPr>
          <w:rFonts w:eastAsia="SimSun"/>
          <w:b/>
          <w:sz w:val="28"/>
          <w:szCs w:val="28"/>
          <w:u w:val="single"/>
          <w:lang w:eastAsia="zh-CN"/>
        </w:rPr>
        <w:t xml:space="preserve"> </w:t>
      </w:r>
      <w:r w:rsidRPr="00D72C8E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C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D72C8E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16"/>
          <w:szCs w:val="16"/>
          <w:lang w:eastAsia="zh-CN"/>
        </w:rPr>
      </w:pPr>
      <w:r w:rsidRPr="00D72C8E">
        <w:rPr>
          <w:rFonts w:eastAsia="SimSun"/>
          <w:b/>
          <w:color w:val="000000"/>
          <w:sz w:val="16"/>
          <w:szCs w:val="16"/>
          <w:lang w:eastAsia="zh-CN"/>
        </w:rPr>
        <w:t>(указать ФИО, дату обучения, форму оплаты, реквизиты, телефон)</w:t>
      </w:r>
      <w:r w:rsidRPr="00D72C8E">
        <w:rPr>
          <w:rFonts w:eastAsia="SimSun"/>
          <w:b/>
          <w:sz w:val="16"/>
          <w:szCs w:val="16"/>
          <w:lang w:eastAsia="zh-CN"/>
        </w:rPr>
        <w:t xml:space="preserve"> </w:t>
      </w:r>
    </w:p>
    <w:p w14:paraId="02D773BF" w14:textId="77777777" w:rsidR="00585378" w:rsidRPr="00D72C8E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32"/>
          <w:szCs w:val="32"/>
          <w:u w:val="single"/>
        </w:rPr>
      </w:pPr>
      <w:r w:rsidRPr="00D72C8E">
        <w:rPr>
          <w:rFonts w:eastAsia="SimSun"/>
          <w:b/>
          <w:color w:val="FF0000"/>
          <w:sz w:val="32"/>
          <w:szCs w:val="32"/>
          <w:lang w:eastAsia="zh-CN"/>
        </w:rPr>
        <w:t>8(383)</w:t>
      </w:r>
      <w:r w:rsidRPr="00D72C8E">
        <w:rPr>
          <w:rFonts w:eastAsia="SimSun"/>
          <w:color w:val="FF0000"/>
          <w:sz w:val="32"/>
          <w:szCs w:val="32"/>
          <w:lang w:eastAsia="zh-CN"/>
        </w:rPr>
        <w:t>–</w:t>
      </w:r>
      <w:r w:rsidRPr="00D72C8E">
        <w:rPr>
          <w:rFonts w:eastAsia="SimSun"/>
          <w:b/>
          <w:color w:val="FF0000"/>
          <w:sz w:val="32"/>
          <w:szCs w:val="32"/>
          <w:lang w:eastAsia="zh-CN"/>
        </w:rPr>
        <w:t>209-26-61, 89139364490, 89139442664  или на сайте</w:t>
      </w:r>
      <w:r w:rsidRPr="00D72C8E">
        <w:rPr>
          <w:rFonts w:eastAsia="SimSun"/>
          <w:b/>
          <w:sz w:val="32"/>
          <w:szCs w:val="32"/>
          <w:lang w:eastAsia="zh-CN"/>
        </w:rPr>
        <w:t xml:space="preserve"> </w:t>
      </w:r>
      <w:r w:rsidRPr="00D72C8E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D72C8E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D72C8E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4E58A08B" w14:textId="77777777" w:rsidR="00FC3813" w:rsidRPr="001D6DB5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1D6DB5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3913DC46" w14:textId="77777777" w:rsidR="00FC3813" w:rsidRPr="001D6DB5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1D6DB5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1D6DB5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49F632DC" w14:textId="77777777" w:rsidR="00FC3813" w:rsidRPr="001D6DB5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0509FC11" w14:textId="77777777" w:rsidR="00FC3813" w:rsidRPr="001438D2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1438D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6B17B8FE" w14:textId="77777777" w:rsidR="00FC3813" w:rsidRPr="001438D2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1438D2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1438D2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0820D78C" w14:textId="77777777" w:rsidR="00FC3813" w:rsidRPr="001D6DB5" w:rsidRDefault="00FC3813" w:rsidP="00FC3813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6EF9BF4B" w14:textId="77777777" w:rsidR="00FC3813" w:rsidRPr="001D6DB5" w:rsidRDefault="00FC3813" w:rsidP="00FC3813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вариант учетной политики  для учреждений госсектора с приложениями </w:t>
      </w:r>
      <w:r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1D6DB5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</w:t>
      </w:r>
      <w:r w:rsidRPr="00D77B9D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-2026</w:t>
      </w:r>
      <w:r w:rsidRPr="001D6DB5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E2C8B3D" w14:textId="77777777" w:rsidR="00FC3813" w:rsidRDefault="00FC3813" w:rsidP="00FC3813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7365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0DE6B20D" w14:textId="77777777" w:rsidR="00FC3813" w:rsidRPr="001438D2" w:rsidRDefault="00FC3813" w:rsidP="00FC3813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8D2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66495F2F" w14:textId="77777777" w:rsidR="00FC3813" w:rsidRPr="001D6DB5" w:rsidRDefault="00FC3813" w:rsidP="00FC3813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1D6DB5">
        <w:rPr>
          <w:b/>
        </w:rPr>
        <w:lastRenderedPageBreak/>
        <w:t>Приказ по учетной по</w:t>
      </w:r>
      <w:r>
        <w:rPr>
          <w:b/>
        </w:rPr>
        <w:t xml:space="preserve">литике  со всеми приложениями (без положений по  инвентаризации и ЭДО) - </w:t>
      </w:r>
      <w:r w:rsidRPr="001D6DB5">
        <w:rPr>
          <w:b/>
        </w:rPr>
        <w:t>вариант для ленивых – бери и работай!!!</w:t>
      </w:r>
    </w:p>
    <w:p w14:paraId="27D56C56" w14:textId="77777777" w:rsidR="00FC3813" w:rsidRDefault="00FC3813" w:rsidP="00FC3813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1D6DB5">
        <w:rPr>
          <w:b/>
        </w:rPr>
        <w:t xml:space="preserve">- </w:t>
      </w:r>
      <w:r w:rsidRPr="001D6DB5">
        <w:rPr>
          <w:b/>
          <w:u w:val="single"/>
        </w:rPr>
        <w:t xml:space="preserve">ЭЛ. ВАРИАНТ </w:t>
      </w:r>
      <w:r w:rsidRPr="001D6DB5">
        <w:rPr>
          <w:b/>
          <w:caps/>
          <w:u w:val="single"/>
        </w:rPr>
        <w:t>ДЛЯ учреждений госсектора</w:t>
      </w:r>
      <w:r w:rsidRPr="001D6DB5">
        <w:rPr>
          <w:b/>
          <w:caps/>
        </w:rPr>
        <w:t xml:space="preserve"> - </w:t>
      </w:r>
      <w:r w:rsidRPr="001D6DB5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1D6DB5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2DEB4D27" w14:textId="77777777" w:rsidR="00FC3813" w:rsidRPr="0020421D" w:rsidRDefault="00FC3813" w:rsidP="00FC3813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ascii="Times New Roman Полужирный" w:eastAsia="SimSun" w:hAnsi="Times New Roman Полужирный" w:hint="eastAsia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20421D">
        <w:rPr>
          <w:rFonts w:ascii="Times New Roman Полужирный" w:eastAsia="SimSun" w:hAnsi="Times New Roman Полужирный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36FB8F22" w14:textId="77777777" w:rsidR="00FC3813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6BAEED81" w14:textId="77777777" w:rsidR="00FC3813" w:rsidRPr="00FE43BA" w:rsidRDefault="00FC3813" w:rsidP="00FC3813">
      <w:pPr>
        <w:rPr>
          <w:rFonts w:eastAsia="SimSun"/>
          <w:lang w:eastAsia="zh-CN"/>
        </w:rPr>
      </w:pPr>
    </w:p>
    <w:p w14:paraId="64C18325" w14:textId="77777777" w:rsidR="003A297E" w:rsidRPr="004B289F" w:rsidRDefault="003A297E" w:rsidP="003A297E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6ED0FD8D" w14:textId="77777777" w:rsidR="003A297E" w:rsidRPr="006A1543" w:rsidRDefault="003A297E" w:rsidP="003A297E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3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3A297E" w14:paraId="1690D1A0" w14:textId="77777777" w:rsidTr="005E0EEA">
        <w:tc>
          <w:tcPr>
            <w:tcW w:w="10536" w:type="dxa"/>
            <w:shd w:val="clear" w:color="auto" w:fill="CCFFFF"/>
          </w:tcPr>
          <w:p w14:paraId="629C05A1" w14:textId="77777777" w:rsidR="003A297E" w:rsidRDefault="003A297E" w:rsidP="005E0EEA">
            <w:pPr>
              <w:ind w:firstLine="360"/>
              <w:jc w:val="both"/>
            </w:pPr>
            <w:r w:rsidRPr="005E351E">
              <w:t xml:space="preserve">Учетная политика разработана </w:t>
            </w:r>
            <w:r w:rsidRPr="005E351E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5E351E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4CC69C53" w14:textId="77777777" w:rsidR="003A297E" w:rsidRPr="005E351E" w:rsidRDefault="003A297E" w:rsidP="003A297E">
      <w:pPr>
        <w:jc w:val="center"/>
        <w:rPr>
          <w:b/>
          <w:u w:val="single"/>
        </w:rPr>
      </w:pPr>
      <w:r w:rsidRPr="005E351E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7A67F4A4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01212547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6F9FC545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5F5FD5E9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7A9E3BF5" w14:textId="77777777" w:rsidR="003A297E" w:rsidRPr="00652233" w:rsidRDefault="003A297E" w:rsidP="003A297E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субъекта учета;</w:t>
      </w:r>
    </w:p>
    <w:p w14:paraId="236F30EC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7BB49E94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5B349398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графика документооборота;</w:t>
      </w:r>
    </w:p>
    <w:p w14:paraId="0B0F039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5A0880E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13452237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5E3E4FBA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выдаче под отчет денежных средств, составлении и представлении отчетов подотчетными лицами;</w:t>
      </w:r>
    </w:p>
    <w:p w14:paraId="178571CF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756BC08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41C4F87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3C7BF053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бухгалтерии</w:t>
      </w:r>
    </w:p>
    <w:p w14:paraId="79BF81DB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42E5A95E" w14:textId="77777777" w:rsidR="003A297E" w:rsidRPr="002B3A40" w:rsidRDefault="003A297E" w:rsidP="003A297E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7F9F49E5" w14:textId="77777777" w:rsidR="003A297E" w:rsidRPr="006A1543" w:rsidRDefault="003A297E" w:rsidP="003A297E">
      <w:pPr>
        <w:ind w:firstLine="360"/>
        <w:jc w:val="center"/>
        <w:rPr>
          <w:b/>
          <w:color w:val="808080"/>
        </w:rPr>
      </w:pPr>
      <w:r w:rsidRPr="00652233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52233">
        <w:rPr>
          <w:b/>
          <w:bCs/>
        </w:rPr>
        <w:t>с 01 января 2026 года</w:t>
      </w:r>
      <w:r w:rsidRPr="00652233">
        <w:rPr>
          <w:b/>
        </w:rPr>
        <w:t>, таких как:</w:t>
      </w:r>
    </w:p>
    <w:p w14:paraId="1CE2D2BA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44BAD8DA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4F1DEE46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4A4ACD6B" w14:textId="77777777" w:rsidR="003A297E" w:rsidRPr="006A1543" w:rsidRDefault="003A297E" w:rsidP="003A297E">
      <w:pPr>
        <w:ind w:firstLine="360"/>
        <w:jc w:val="both"/>
        <w:rPr>
          <w:color w:val="808080"/>
          <w:sz w:val="8"/>
          <w:szCs w:val="8"/>
        </w:rPr>
      </w:pPr>
    </w:p>
    <w:p w14:paraId="32B7617B" w14:textId="77777777" w:rsidR="003A297E" w:rsidRDefault="003A297E" w:rsidP="003A297E">
      <w:pPr>
        <w:ind w:firstLine="360"/>
        <w:jc w:val="center"/>
      </w:pPr>
      <w:r w:rsidRPr="006A1543">
        <w:rPr>
          <w:b/>
          <w:color w:val="000000"/>
        </w:rPr>
        <w:t xml:space="preserve">Данная учетная политика используется </w:t>
      </w:r>
      <w:r w:rsidRPr="006A1543">
        <w:rPr>
          <w:b/>
          <w:bCs/>
          <w:color w:val="000000"/>
        </w:rPr>
        <w:t>как шаблон для создания собственных документов учреждения</w:t>
      </w:r>
      <w:r w:rsidRPr="006A1543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52233">
        <w:rPr>
          <w:b/>
          <w:color w:val="FF0000"/>
          <w:u w:val="single"/>
        </w:rPr>
        <w:t>централизованными бухгалтериями</w:t>
      </w:r>
      <w:r w:rsidRPr="006A1543">
        <w:rPr>
          <w:b/>
          <w:color w:val="000000"/>
        </w:rPr>
        <w:t>.</w:t>
      </w:r>
    </w:p>
    <w:p w14:paraId="40237CD5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000000"/>
          <w:u w:val="single"/>
        </w:rPr>
        <w:t>Для централизованных бухгалтерий выделены в тексте положения,</w:t>
      </w:r>
      <w:r w:rsidRPr="006A1543">
        <w:rPr>
          <w:color w:val="808080"/>
        </w:rPr>
        <w:t xml:space="preserve"> </w:t>
      </w:r>
      <w:r w:rsidRPr="006A1543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2C78C65B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305E55C5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2E0D2FB3" w14:textId="77777777" w:rsidR="003A297E" w:rsidRPr="006A1543" w:rsidRDefault="003A297E" w:rsidP="003A297E">
      <w:pPr>
        <w:ind w:firstLine="360"/>
        <w:jc w:val="both"/>
        <w:rPr>
          <w:color w:val="808080"/>
          <w:sz w:val="8"/>
          <w:szCs w:val="8"/>
        </w:rPr>
      </w:pPr>
    </w:p>
    <w:p w14:paraId="4AEBA44B" w14:textId="77777777" w:rsidR="003A297E" w:rsidRPr="002B3A40" w:rsidRDefault="003A297E" w:rsidP="003A297E">
      <w:pPr>
        <w:jc w:val="both"/>
      </w:pPr>
      <w:r>
        <w:tab/>
      </w:r>
      <w:r w:rsidRPr="002B3A40"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</w:t>
      </w:r>
      <w:r w:rsidRPr="002B3A40">
        <w:lastRenderedPageBreak/>
        <w:t xml:space="preserve">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4D0AA8E9" w14:textId="77777777" w:rsidR="003A297E" w:rsidRPr="002B3A40" w:rsidRDefault="003A297E" w:rsidP="003A297E">
      <w:pPr>
        <w:jc w:val="both"/>
        <w:rPr>
          <w:sz w:val="10"/>
          <w:szCs w:val="10"/>
        </w:rPr>
      </w:pPr>
    </w:p>
    <w:p w14:paraId="2CFEE06A" w14:textId="77777777" w:rsidR="003A297E" w:rsidRDefault="003A297E" w:rsidP="003A297E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2775C012" w14:textId="079731A8" w:rsidR="00A15983" w:rsidRPr="00D72C8E" w:rsidRDefault="00A1598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A15983" w:rsidRPr="00D72C8E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D864" w14:textId="77777777" w:rsidR="00616AA9" w:rsidRDefault="00616AA9" w:rsidP="00037D6E">
      <w:r>
        <w:separator/>
      </w:r>
    </w:p>
  </w:endnote>
  <w:endnote w:type="continuationSeparator" w:id="0">
    <w:p w14:paraId="0E24B126" w14:textId="77777777" w:rsidR="00616AA9" w:rsidRDefault="00616AA9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1F735" w14:textId="77777777" w:rsidR="00616AA9" w:rsidRDefault="00616AA9" w:rsidP="00037D6E">
      <w:r>
        <w:separator/>
      </w:r>
    </w:p>
  </w:footnote>
  <w:footnote w:type="continuationSeparator" w:id="0">
    <w:p w14:paraId="5AF5D813" w14:textId="77777777" w:rsidR="00616AA9" w:rsidRDefault="00616AA9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1C2E6AE4"/>
    <w:lvl w:ilvl="0" w:tplc="31F4E55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83565"/>
    <w:multiLevelType w:val="hybridMultilevel"/>
    <w:tmpl w:val="3CC23392"/>
    <w:lvl w:ilvl="0" w:tplc="B2028478">
      <w:start w:val="1"/>
      <w:numFmt w:val="bullet"/>
      <w:lvlText w:val=""/>
      <w:lvlJc w:val="left"/>
      <w:pPr>
        <w:ind w:left="4046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9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5"/>
  </w:num>
  <w:num w:numId="5">
    <w:abstractNumId w:val="20"/>
  </w:num>
  <w:num w:numId="6">
    <w:abstractNumId w:val="14"/>
  </w:num>
  <w:num w:numId="7">
    <w:abstractNumId w:val="4"/>
  </w:num>
  <w:num w:numId="8">
    <w:abstractNumId w:val="38"/>
  </w:num>
  <w:num w:numId="9">
    <w:abstractNumId w:val="45"/>
  </w:num>
  <w:num w:numId="10">
    <w:abstractNumId w:val="44"/>
  </w:num>
  <w:num w:numId="11">
    <w:abstractNumId w:val="16"/>
  </w:num>
  <w:num w:numId="12">
    <w:abstractNumId w:val="36"/>
  </w:num>
  <w:num w:numId="13">
    <w:abstractNumId w:val="32"/>
  </w:num>
  <w:num w:numId="14">
    <w:abstractNumId w:val="26"/>
  </w:num>
  <w:num w:numId="15">
    <w:abstractNumId w:val="18"/>
  </w:num>
  <w:num w:numId="16">
    <w:abstractNumId w:val="22"/>
  </w:num>
  <w:num w:numId="17">
    <w:abstractNumId w:val="42"/>
  </w:num>
  <w:num w:numId="18">
    <w:abstractNumId w:val="41"/>
  </w:num>
  <w:num w:numId="19">
    <w:abstractNumId w:val="0"/>
  </w:num>
  <w:num w:numId="20">
    <w:abstractNumId w:val="5"/>
  </w:num>
  <w:num w:numId="21">
    <w:abstractNumId w:val="46"/>
  </w:num>
  <w:num w:numId="22">
    <w:abstractNumId w:val="24"/>
  </w:num>
  <w:num w:numId="23">
    <w:abstractNumId w:val="28"/>
  </w:num>
  <w:num w:numId="24">
    <w:abstractNumId w:val="7"/>
  </w:num>
  <w:num w:numId="25">
    <w:abstractNumId w:val="30"/>
  </w:num>
  <w:num w:numId="26">
    <w:abstractNumId w:val="1"/>
  </w:num>
  <w:num w:numId="27">
    <w:abstractNumId w:val="15"/>
  </w:num>
  <w:num w:numId="28">
    <w:abstractNumId w:val="29"/>
  </w:num>
  <w:num w:numId="29">
    <w:abstractNumId w:val="9"/>
  </w:num>
  <w:num w:numId="30">
    <w:abstractNumId w:val="21"/>
  </w:num>
  <w:num w:numId="31">
    <w:abstractNumId w:val="25"/>
  </w:num>
  <w:num w:numId="32">
    <w:abstractNumId w:val="39"/>
  </w:num>
  <w:num w:numId="33">
    <w:abstractNumId w:val="43"/>
  </w:num>
  <w:num w:numId="34">
    <w:abstractNumId w:val="37"/>
  </w:num>
  <w:num w:numId="35">
    <w:abstractNumId w:val="23"/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1"/>
  </w:num>
  <w:num w:numId="39">
    <w:abstractNumId w:val="33"/>
  </w:num>
  <w:num w:numId="40">
    <w:abstractNumId w:val="34"/>
  </w:num>
  <w:num w:numId="41">
    <w:abstractNumId w:val="27"/>
  </w:num>
  <w:num w:numId="42">
    <w:abstractNumId w:val="10"/>
  </w:num>
  <w:num w:numId="43">
    <w:abstractNumId w:val="40"/>
  </w:num>
  <w:num w:numId="44">
    <w:abstractNumId w:val="8"/>
  </w:num>
  <w:num w:numId="45">
    <w:abstractNumId w:val="11"/>
  </w:num>
  <w:num w:numId="46">
    <w:abstractNumId w:val="3"/>
  </w:num>
  <w:num w:numId="47">
    <w:abstractNumId w:val="13"/>
  </w:num>
  <w:num w:numId="48">
    <w:abstractNumId w:val="12"/>
  </w:num>
  <w:num w:numId="49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722jngXBKxP0eWZzPl+9rah1iWHZJ8bKKqlQU46RYxsf6SA5FhfJnbzj8wixFC3mYaub0A9bAuY0uzlFeZO+Bw==" w:salt="iVwKnfxxN5XZ7uX34zqTV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477E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52F"/>
    <w:rsid w:val="00110CFD"/>
    <w:rsid w:val="00110E35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E2006"/>
    <w:rsid w:val="001E2619"/>
    <w:rsid w:val="001E2922"/>
    <w:rsid w:val="001E2C97"/>
    <w:rsid w:val="001E4080"/>
    <w:rsid w:val="001E62F4"/>
    <w:rsid w:val="001E6361"/>
    <w:rsid w:val="001E7919"/>
    <w:rsid w:val="001F26C2"/>
    <w:rsid w:val="001F27FC"/>
    <w:rsid w:val="001F284B"/>
    <w:rsid w:val="001F2BAF"/>
    <w:rsid w:val="001F6BF8"/>
    <w:rsid w:val="00200E95"/>
    <w:rsid w:val="002067B8"/>
    <w:rsid w:val="00207D6E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37"/>
    <w:rsid w:val="0024397D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297E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4BBC"/>
    <w:rsid w:val="004144D9"/>
    <w:rsid w:val="00421F32"/>
    <w:rsid w:val="004237EC"/>
    <w:rsid w:val="00426495"/>
    <w:rsid w:val="00427D7C"/>
    <w:rsid w:val="00430762"/>
    <w:rsid w:val="004358E4"/>
    <w:rsid w:val="00435D15"/>
    <w:rsid w:val="00436C92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4B5F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4BF0"/>
    <w:rsid w:val="004A7438"/>
    <w:rsid w:val="004B345D"/>
    <w:rsid w:val="004B3D1C"/>
    <w:rsid w:val="004B6CF9"/>
    <w:rsid w:val="004C280E"/>
    <w:rsid w:val="004C4A9D"/>
    <w:rsid w:val="004C5EE8"/>
    <w:rsid w:val="004D2F71"/>
    <w:rsid w:val="004D363A"/>
    <w:rsid w:val="004D4595"/>
    <w:rsid w:val="004D499B"/>
    <w:rsid w:val="004D63B3"/>
    <w:rsid w:val="004E225E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3C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2FB3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0EEA"/>
    <w:rsid w:val="005E2EC0"/>
    <w:rsid w:val="005E38F9"/>
    <w:rsid w:val="005F20A5"/>
    <w:rsid w:val="005F72A9"/>
    <w:rsid w:val="00601A29"/>
    <w:rsid w:val="0060280B"/>
    <w:rsid w:val="006030B3"/>
    <w:rsid w:val="00606481"/>
    <w:rsid w:val="00606A44"/>
    <w:rsid w:val="006112F0"/>
    <w:rsid w:val="00616019"/>
    <w:rsid w:val="006169F3"/>
    <w:rsid w:val="00616AA9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222"/>
    <w:rsid w:val="0074758A"/>
    <w:rsid w:val="00751283"/>
    <w:rsid w:val="007519F3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3E2A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60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314A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97C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5E64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04E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760F9"/>
    <w:rsid w:val="00B77B65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64B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55F09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ADD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458D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18E3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C8E"/>
    <w:rsid w:val="00D72DC1"/>
    <w:rsid w:val="00D813D6"/>
    <w:rsid w:val="00D82A52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A7D28"/>
    <w:rsid w:val="00DB1C93"/>
    <w:rsid w:val="00DB227C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6D5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47881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C3813"/>
    <w:rsid w:val="00FC51F1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3A29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E1F0-3334-4C62-9236-4E988942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59</cp:revision>
  <cp:lastPrinted>2022-06-08T05:57:00Z</cp:lastPrinted>
  <dcterms:created xsi:type="dcterms:W3CDTF">2023-10-12T05:41:00Z</dcterms:created>
  <dcterms:modified xsi:type="dcterms:W3CDTF">2025-10-13T13:39:00Z</dcterms:modified>
</cp:coreProperties>
</file>