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2B29F60" w:rsidR="00585378" w:rsidRPr="001D6DB5" w:rsidRDefault="001D6DB5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1D6DB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04CE7B8C">
            <wp:simplePos x="0" y="0"/>
            <wp:positionH relativeFrom="column">
              <wp:posOffset>-208915</wp:posOffset>
            </wp:positionH>
            <wp:positionV relativeFrom="paragraph">
              <wp:posOffset>-292735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, бухгалтерам мат. группы,  экономистам и др </w:t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4AFE630A" w:rsidR="00585378" w:rsidRPr="001D6DB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1D6DB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2F206FE5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1D6DB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rStyle w:val="a5"/>
          <w:color w:val="000000"/>
          <w:sz w:val="18"/>
          <w:szCs w:val="18"/>
        </w:rPr>
        <w:t xml:space="preserve"> </w:t>
      </w:r>
      <w:r w:rsidRPr="001D6DB5">
        <w:rPr>
          <w:rStyle w:val="a5"/>
          <w:color w:val="000000"/>
          <w:sz w:val="18"/>
          <w:szCs w:val="18"/>
          <w:u w:val="double"/>
        </w:rPr>
        <w:t xml:space="preserve">  </w:t>
      </w:r>
      <w:r w:rsidRPr="001D6DB5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</w:p>
    <w:p w14:paraId="0A717412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</w:p>
    <w:p w14:paraId="3D7E7BC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  <w:r w:rsidRPr="001D6DB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1D6DB5">
        <w:rPr>
          <w:b w:val="0"/>
          <w:bCs/>
          <w:sz w:val="14"/>
          <w:szCs w:val="14"/>
        </w:rPr>
        <w:t>проводит</w:t>
      </w:r>
      <w:r w:rsidRPr="001D6DB5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8FDB1CC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2"/>
          <w:szCs w:val="12"/>
          <w:highlight w:val="yellow"/>
        </w:rPr>
        <w:t xml:space="preserve">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110477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1D6DB5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1D6DB5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52A4D201" w:rsidR="00585378" w:rsidRPr="001D6DB5" w:rsidRDefault="001D6DB5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 w:rsidRPr="001D6DB5">
        <w:rPr>
          <w:smallCaps/>
          <w:color w:val="FF0000"/>
          <w:sz w:val="36"/>
          <w:szCs w:val="36"/>
          <w:u w:val="single"/>
        </w:rPr>
        <w:t>19-20 Февраля</w:t>
      </w:r>
      <w:r w:rsidR="001475D8" w:rsidRPr="001D6DB5">
        <w:rPr>
          <w:smallCaps/>
          <w:color w:val="FF0000"/>
          <w:sz w:val="36"/>
          <w:szCs w:val="36"/>
          <w:u w:val="single"/>
        </w:rPr>
        <w:t xml:space="preserve"> </w:t>
      </w:r>
      <w:r w:rsidRPr="001D6DB5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1D6DB5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6"/>
          <w:szCs w:val="16"/>
        </w:rPr>
        <w:t xml:space="preserve"> </w:t>
      </w:r>
      <w:r w:rsidRPr="001D6DB5">
        <w:rPr>
          <w:sz w:val="12"/>
          <w:szCs w:val="12"/>
        </w:rPr>
        <w:t xml:space="preserve"> </w:t>
      </w:r>
      <w:r w:rsidRPr="001D6DB5">
        <w:rPr>
          <w:sz w:val="14"/>
          <w:szCs w:val="14"/>
        </w:rPr>
        <w:t xml:space="preserve">в программе:  </w:t>
      </w:r>
    </w:p>
    <w:p w14:paraId="62466458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1D6DB5">
        <w:rPr>
          <w:b/>
          <w:bCs/>
          <w:sz w:val="12"/>
          <w:szCs w:val="12"/>
        </w:rPr>
        <w:t>_____________________________________________________________</w:t>
      </w:r>
      <w:r w:rsidRPr="001D6DB5">
        <w:rPr>
          <w:b/>
          <w:bCs/>
          <w:sz w:val="4"/>
          <w:szCs w:val="4"/>
        </w:rPr>
        <w:t>_</w:t>
      </w:r>
      <w:r w:rsidRPr="001D6DB5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1D6DB5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1D6DB5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1D6DB5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1D6DB5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1D6DB5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1D6DB5">
        <w:rPr>
          <w:bCs/>
          <w:sz w:val="20"/>
          <w:szCs w:val="20"/>
          <w:highlight w:val="yellow"/>
        </w:rPr>
        <w:t>Для профессионального стандарта "</w:t>
      </w:r>
      <w:r w:rsidRPr="001D6DB5">
        <w:rPr>
          <w:b/>
          <w:sz w:val="20"/>
          <w:szCs w:val="20"/>
          <w:highlight w:val="yellow"/>
        </w:rPr>
        <w:t>БУХГАЛТЕР"</w:t>
      </w:r>
      <w:r w:rsidRPr="001D6DB5">
        <w:rPr>
          <w:bCs/>
          <w:sz w:val="20"/>
          <w:szCs w:val="20"/>
          <w:highlight w:val="yellow"/>
        </w:rPr>
        <w:t xml:space="preserve"> </w:t>
      </w:r>
      <w:r w:rsidRPr="001D6DB5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1D6DB5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1D6DB5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1D6DB5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1D6DB5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1D6DB5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1D6DB5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1B0A17BB" w14:textId="5D4E4B52" w:rsidR="001475D8" w:rsidRPr="001D6DB5" w:rsidRDefault="001D6DB5" w:rsidP="001D6DB5">
      <w:pPr>
        <w:jc w:val="center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D6DB5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«</w:t>
      </w:r>
      <w:r w:rsidRPr="001D6DB5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УЧЕТ НЕФИНАНСОВЫХ АКТИВОВ УЧРЕЖДЕНИЯМИ ГОССЕКТОРА В 2025 ГОДУ С УЧЕТОМ ОСОБЕННОСТЕЙ ПРИМЕНЕНЯ ФОРМ ЭДО</w:t>
      </w:r>
      <w:r w:rsidRPr="001D6DB5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»</w:t>
      </w:r>
      <w:r w:rsidRPr="001D6DB5">
        <w:rPr>
          <w:b/>
          <w:bCs/>
          <w:caps/>
          <w:color w:val="FF0000"/>
          <w:sz w:val="36"/>
          <w:szCs w:val="36"/>
          <w:u w:val="single"/>
        </w:rPr>
        <w:t xml:space="preserve"> </w:t>
      </w:r>
    </w:p>
    <w:p w14:paraId="725721EA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1D6DB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1D6DB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1D6DB5">
        <w:rPr>
          <w:rStyle w:val="a6"/>
          <w:sz w:val="18"/>
          <w:szCs w:val="18"/>
        </w:rPr>
        <w:t>, органов власти</w:t>
      </w:r>
      <w:r w:rsidRPr="001D6DB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1D6DB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60E039C" w:rsidR="00585378" w:rsidRPr="001D6DB5" w:rsidRDefault="00585378" w:rsidP="00585378">
      <w:pPr>
        <w:ind w:left="284"/>
        <w:jc w:val="center"/>
        <w:rPr>
          <w:b/>
          <w:color w:val="7030A0"/>
          <w:sz w:val="22"/>
          <w:szCs w:val="22"/>
          <w:lang w:val="en-US"/>
        </w:rPr>
      </w:pPr>
      <w:r w:rsidRPr="001D6DB5">
        <w:rPr>
          <w:b/>
          <w:color w:val="7030A0"/>
        </w:rPr>
        <w:t xml:space="preserve">на площадке </w:t>
      </w:r>
      <w:r w:rsidR="00864BFB" w:rsidRPr="001D6DB5">
        <w:rPr>
          <w:b/>
          <w:color w:val="7030A0"/>
          <w:sz w:val="22"/>
          <w:szCs w:val="22"/>
        </w:rPr>
        <w:t xml:space="preserve">МТС </w:t>
      </w:r>
      <w:r w:rsidR="00864BFB" w:rsidRPr="001D6DB5">
        <w:rPr>
          <w:b/>
          <w:color w:val="7030A0"/>
          <w:sz w:val="22"/>
          <w:szCs w:val="22"/>
          <w:lang w:val="en-US"/>
        </w:rPr>
        <w:t>Link</w:t>
      </w:r>
    </w:p>
    <w:p w14:paraId="5B795EA7" w14:textId="6B388A89" w:rsidR="001D6DB5" w:rsidRPr="001D6DB5" w:rsidRDefault="001D6DB5" w:rsidP="001D6DB5">
      <w:pPr>
        <w:spacing w:before="80"/>
        <w:jc w:val="center"/>
        <w:rPr>
          <w:b/>
          <w:bCs/>
          <w:color w:val="00B050"/>
        </w:rPr>
      </w:pPr>
      <w:r w:rsidRPr="001D6DB5">
        <w:rPr>
          <w:b/>
          <w:bCs/>
          <w:color w:val="00B050"/>
        </w:rPr>
        <w:t>В ходе обучения буд</w:t>
      </w:r>
      <w:r w:rsidRPr="001D6DB5">
        <w:rPr>
          <w:b/>
          <w:bCs/>
          <w:color w:val="00B050"/>
        </w:rPr>
        <w:t>ет</w:t>
      </w:r>
      <w:r w:rsidRPr="001D6DB5">
        <w:rPr>
          <w:b/>
          <w:bCs/>
          <w:color w:val="00B050"/>
        </w:rPr>
        <w:t xml:space="preserve"> разбирать</w:t>
      </w:r>
      <w:r w:rsidRPr="001D6DB5">
        <w:rPr>
          <w:b/>
          <w:bCs/>
          <w:color w:val="00B050"/>
        </w:rPr>
        <w:t>ся увязка</w:t>
      </w:r>
      <w:r w:rsidRPr="001D6DB5">
        <w:rPr>
          <w:b/>
          <w:bCs/>
          <w:color w:val="00B050"/>
        </w:rPr>
        <w:t xml:space="preserve"> документов в системе ЭДО, отражающих движение НФА, а также особенности построения корреспонденции счетов</w:t>
      </w:r>
    </w:p>
    <w:p w14:paraId="7186DF9E" w14:textId="5F359C2E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Работа комиссий в учреждении при учете движения НФА.</w:t>
      </w:r>
      <w:r w:rsidRPr="00FE43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>Инвентаризационная комиссия, комиссия по поступлению и выбытию активов, комиссия по списанию НФА, приемочная комиссия. Разработка положений комиссии – основные требования к работе в соответствии с приказом МФ РФ от 13.09.2023 № 144н, состав комиссии, роль секретаря комиссии, применение электронных подписей, проведение инвентаризации комиссией по поступлению и выбытию активов. Особенности включения бухгалтера в работу комиссий.  Взаимодействие учреждения с централизованной бухгалтерией – полномочия ЦБ, осуществление контрольных мероприятий. Лист голосования – его роль в принятии решения. Составление членом комиссии особого мнения.  Отсутствие члена комиссии</w:t>
      </w:r>
    </w:p>
    <w:p w14:paraId="5E3D92C7" w14:textId="66B08FF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Проведение инвентаризации в 2025 году (письмо Минфина РФ от 01.07.2024 № 02-06-06/61122).</w:t>
      </w:r>
      <w:r w:rsidRPr="00FE43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>Норм</w:t>
      </w:r>
      <w:r w:rsidR="009244AD">
        <w:rPr>
          <w:rFonts w:ascii="Times New Roman" w:hAnsi="Times New Roman"/>
          <w:sz w:val="24"/>
          <w:szCs w:val="24"/>
        </w:rPr>
        <w:t>ативное регулирование проведения инвентаризации 2024-2025</w:t>
      </w:r>
      <w:r w:rsidRPr="00FE43BA">
        <w:rPr>
          <w:rFonts w:ascii="Times New Roman" w:hAnsi="Times New Roman"/>
          <w:sz w:val="24"/>
          <w:szCs w:val="24"/>
        </w:rPr>
        <w:t xml:space="preserve">. Организация проведения инвентаризации – создание инвентаризационной комиссии, участие МОЛов в составе инвентаризационной комиссии, участие бухгалтера в инвентаризации, отсутствие члена комиссии при проведении инвентаризации. Предварительный, основной этапы проведения инвентаризации. Установление временных периодов для инвентаризации. Оформление результатов инвентаризации. Организация внутреннего контроля. Рекомендации по формированию положений по проведению инвентаризации. </w:t>
      </w:r>
      <w:r w:rsidRPr="00FE43BA">
        <w:rPr>
          <w:rFonts w:ascii="Times New Roman" w:hAnsi="Times New Roman"/>
          <w:b/>
          <w:bCs/>
          <w:color w:val="C00000"/>
          <w:sz w:val="24"/>
          <w:szCs w:val="24"/>
        </w:rPr>
        <w:t xml:space="preserve"> Документооборот в системе ЭДО при выявлении излишков и недостач.</w:t>
      </w:r>
      <w:r w:rsidRPr="00FE43BA">
        <w:rPr>
          <w:rFonts w:ascii="Times New Roman" w:hAnsi="Times New Roman"/>
          <w:sz w:val="24"/>
          <w:szCs w:val="24"/>
        </w:rPr>
        <w:t xml:space="preserve"> </w:t>
      </w:r>
      <w:r w:rsidRPr="00FE43BA">
        <w:rPr>
          <w:rFonts w:ascii="Times New Roman" w:hAnsi="Times New Roman"/>
          <w:b/>
          <w:bCs/>
          <w:color w:val="C00000"/>
          <w:sz w:val="24"/>
          <w:szCs w:val="24"/>
        </w:rPr>
        <w:t xml:space="preserve">Определении размера ущерба, причиненного недостачами, хищениями. </w:t>
      </w:r>
      <w:r w:rsidRPr="00FE43BA">
        <w:rPr>
          <w:rFonts w:ascii="Times New Roman" w:hAnsi="Times New Roman"/>
          <w:sz w:val="24"/>
          <w:szCs w:val="24"/>
        </w:rPr>
        <w:t>Решение об оценке стоимости имущества, отчужденного не в пользу организации бюджетной сферы (ф. 0510442).  Случаи и особенности применения формы. Понятие справедливой стоимости, способы оценки. Увязка данных формы с другими формами отчетности.</w:t>
      </w:r>
    </w:p>
    <w:p w14:paraId="7B34C929" w14:textId="72495C7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Формирование резервов предстоящих расходов.</w:t>
      </w:r>
      <w:r w:rsidRPr="00FE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 xml:space="preserve">Условия для формирования резерва, дата признания резерва. Отражение в учете отложенных, принятых и денежных обязательств. Корреспонденция счетов. Письмо Минфина России от 05.08.2019 № 02-07-07/58716 «О направлении Методических рекомендаций по применению положений СГС "Резервы. Раскрытие информации об условных обязательствах и условных активах"». Ошибки прошлых лет. </w:t>
      </w:r>
    </w:p>
    <w:p w14:paraId="3316272D" w14:textId="764A60C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 xml:space="preserve">Изменения в бюджетной классификации с 01.01.2025. </w:t>
      </w:r>
      <w:r w:rsidRPr="00FE43BA">
        <w:rPr>
          <w:rFonts w:ascii="Times New Roman" w:hAnsi="Times New Roman"/>
          <w:sz w:val="24"/>
          <w:szCs w:val="24"/>
        </w:rPr>
        <w:t>Приказ Минфина России от 15.04.2024 N 44н. Отдельные вопросы по применению бюджетной классификации в разъяснениях Минфина РФ. О применении КВР и КОСГУ в отношении расходов на закупку и монтаж кондиционеров. О применении КОСГУ в отношении расходов на установку (расширение) единых функционирующих систем на объекте, введенном в эксплуатацию, при принятии части работ к учету для включения в стоимость ОС.</w:t>
      </w:r>
    </w:p>
    <w:p w14:paraId="73E9B7CB" w14:textId="438967E6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Учет нефинансовых активов в системе ЭДО с учетом разъяснений Минфина РФ (письма МФ РФ от 01.04.2024 № 02-06-06/29423, от 30.07.2024 № 02-06-06/70843, от 29.11.2024 №</w:t>
      </w:r>
      <w:r w:rsidRPr="00FE43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02-06-06/120312).</w:t>
      </w:r>
    </w:p>
    <w:p w14:paraId="683CEDC4" w14:textId="5CE0CAAE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основных средств.</w:t>
      </w:r>
      <w:r w:rsidR="001D6DB5" w:rsidRPr="00FE43BA">
        <w:rPr>
          <w:b/>
          <w:bCs/>
        </w:rPr>
        <w:t xml:space="preserve"> </w:t>
      </w:r>
      <w:r w:rsidR="001D6DB5" w:rsidRPr="00FE43BA">
        <w:t>Критерии отнесения объекта к ОС.</w:t>
      </w:r>
      <w:r w:rsidR="001D6DB5" w:rsidRPr="00FE43BA">
        <w:rPr>
          <w:b/>
          <w:bCs/>
        </w:rPr>
        <w:t xml:space="preserve"> </w:t>
      </w:r>
      <w:r w:rsidR="001D6DB5" w:rsidRPr="00FE43BA">
        <w:t>Определении срока полезного использования объектов ОС, входящих в десятую амортизационную группу. Об изменении балансовой стоимости ОС при изменении кадастровой стоимости. Признание организациями государственного сектора инвентарного объекта в отношении мониторов, системных блоков. Отражение в бухгалтерском (бюджетном) учете объектов, созданных в результате ремонта. Движение ОС, оформляемые решениями комиссии. Выбор типа операций и последовательность документов. Отражение в учете объектов ОС, приобретенные до 01.01.2018 года. В каких случаях комиссия не должна оформлять решения о признании и прекращении признания активов. Изменение балансовой стоимости объекта ОС. Отражение в бюджетном учете неучтенных затрат на разработку проектно-сметной документации, являющихся произведенными капитальными вложениями, при принятии к учету объектов строительства.</w:t>
      </w:r>
    </w:p>
    <w:p w14:paraId="047A5E56" w14:textId="679532CF" w:rsidR="001D6DB5" w:rsidRPr="00FE43BA" w:rsidRDefault="001438D2" w:rsidP="00FE43BA">
      <w:pPr>
        <w:tabs>
          <w:tab w:val="left" w:pos="284"/>
        </w:tabs>
        <w:jc w:val="both"/>
      </w:pPr>
      <w:r>
        <w:t xml:space="preserve">       </w:t>
      </w:r>
      <w:r w:rsidR="001D6DB5" w:rsidRPr="00FE43BA">
        <w:t xml:space="preserve">Возможные ошибки при принятии решения и их влияние на финансовое обеспечение учреждения. Критерии «не актив». Акт по приеме – передаче НФА (ф. 0510448) – нюансы заполнения в одностороннем и двустороннем порядке. Особенности формирования актов о списании имущества, их увязка с данными инвентаризации. Особенности утверждения актов о списании руководителем учреждения если списание согласовывается с вышестоящей организации. Передача на утилизацию. Документальное оформление проводимых ремонтов в учреждении. Требования к ведению инвентарных карточек НФА. </w:t>
      </w:r>
    </w:p>
    <w:p w14:paraId="6581AC75" w14:textId="6657B7FF" w:rsidR="001D6DB5" w:rsidRPr="00FE43BA" w:rsidRDefault="001438D2" w:rsidP="00FE43BA">
      <w:pPr>
        <w:tabs>
          <w:tab w:val="left" w:pos="284"/>
        </w:tabs>
        <w:jc w:val="both"/>
      </w:pPr>
      <w:r>
        <w:t xml:space="preserve">        </w:t>
      </w:r>
      <w:r w:rsidR="001D6DB5" w:rsidRPr="00FE43BA">
        <w:t xml:space="preserve">Исправление ошибок прошлых лет. </w:t>
      </w:r>
    </w:p>
    <w:p w14:paraId="3AC1EC94" w14:textId="1C07B57B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НМА.</w:t>
      </w:r>
      <w:r w:rsidR="001D6DB5" w:rsidRPr="00FE43BA">
        <w:rPr>
          <w:b/>
          <w:bCs/>
        </w:rPr>
        <w:t xml:space="preserve"> </w:t>
      </w:r>
      <w:r w:rsidR="001D6DB5" w:rsidRPr="00FE43BA">
        <w:t>Назначение ответственных лиц за контроль за движением НМА. Критерии отнесения объектов к НМА, определение сроков полезного использования. Применение КОСГУ и бюджетной классификации в отношении расходов на приобретение неисключительных прав пользования и исключительных прав на РИД. Получение неисключительного права использования программного обеспечения по лицензионным договорам. Отражение в учете принятия, выбытия нефинансовых активов. Документальное оформление операций по движению НМА.</w:t>
      </w:r>
    </w:p>
    <w:p w14:paraId="3C9DCF12" w14:textId="4E1FF746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МЗ.</w:t>
      </w:r>
      <w:r w:rsidR="001D6DB5" w:rsidRPr="00FE43BA">
        <w:t xml:space="preserve"> Особенности поступления МЗ в учреждение: особенности документального оформления поступления МЗ в зависимости от срока использования: свыше 12 месяцев, до 12 месяцев. Документы, оформляемые МОЛами в системе ЭДО.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Накладная на отпуск материальных ценностей на сторону (ф. 0510458). Акт приемки товаров, работ, услуг (ф. 0510452). Заявка-обоснование закупки товаров, работ, услуг малого объема через подотчетное лицо (ф. 0510521).</w:t>
      </w:r>
    </w:p>
    <w:p w14:paraId="0D1DAF32" w14:textId="4F654BAE" w:rsidR="001D6DB5" w:rsidRPr="00FE43BA" w:rsidRDefault="001438D2" w:rsidP="00FE43BA">
      <w:pPr>
        <w:tabs>
          <w:tab w:val="left" w:pos="284"/>
        </w:tabs>
        <w:jc w:val="both"/>
      </w:pPr>
      <w:r>
        <w:t xml:space="preserve">    </w:t>
      </w:r>
      <w:r w:rsidR="001D6DB5" w:rsidRPr="00FE43BA">
        <w:t>Организация документооборота отдельных видов МЗ: ГСМ, подарки, мягкий инвентарь, хозяйственные средства, канцтовары, прочие. Списание материальных запасов: в каких случаях необходимо оформление результатов инвентаризации и Решения комиссии о признании НФА неактивами. Особенности формирования Акта о списании МЦ (ф.0510460)</w:t>
      </w:r>
    </w:p>
    <w:p w14:paraId="46D6D9D8" w14:textId="0698164B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Документы, оформляемые МОЛами в системе ЭДО</w:t>
      </w:r>
      <w:r w:rsidRPr="00FE43BA">
        <w:rPr>
          <w:rFonts w:ascii="Times New Roman" w:hAnsi="Times New Roman"/>
          <w:b/>
          <w:bCs/>
          <w:sz w:val="24"/>
          <w:szCs w:val="24"/>
        </w:rPr>
        <w:t>.</w:t>
      </w:r>
      <w:r w:rsidRPr="00FE43BA">
        <w:rPr>
          <w:rFonts w:ascii="Times New Roman" w:hAnsi="Times New Roman"/>
          <w:sz w:val="24"/>
          <w:szCs w:val="24"/>
        </w:rPr>
        <w:t xml:space="preserve">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Акт приемки товаров, работ, услуг (ф. 0510452). Заявка-обоснование закупки товаров, работ, услуг малого объема через подотчетное лицо (ф. 0510521), Акт приемки товаров, работ, услуг (ф. 0510452).</w:t>
      </w:r>
    </w:p>
    <w:p w14:paraId="29411B2A" w14:textId="5B3E6F2B" w:rsidR="001475D8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Учет НФА на забалансовых счетах. Особенности применения забалансовых счетов 01,02,03,07, 09, 21, 25, 26, 27</w:t>
      </w:r>
    </w:p>
    <w:p w14:paraId="33834CE7" w14:textId="6773EE97" w:rsidR="00585378" w:rsidRPr="00FE43BA" w:rsidRDefault="00585378" w:rsidP="00FE43BA">
      <w:pPr>
        <w:pStyle w:val="af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43BA">
        <w:rPr>
          <w:rFonts w:ascii="Times New Roman" w:hAnsi="Times New Roman"/>
          <w:b/>
          <w:sz w:val="24"/>
          <w:szCs w:val="24"/>
        </w:rPr>
        <w:t>Ответы на вопросы слушателей</w:t>
      </w:r>
      <w:r w:rsidRPr="00FE43BA">
        <w:rPr>
          <w:rFonts w:ascii="Times New Roman" w:hAnsi="Times New Roman"/>
          <w:b/>
          <w:sz w:val="24"/>
          <w:szCs w:val="24"/>
        </w:rPr>
        <w:tab/>
      </w:r>
    </w:p>
    <w:p w14:paraId="4F2A05AB" w14:textId="77777777" w:rsidR="00585378" w:rsidRPr="001D6DB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1D6DB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0C03FCCD" w:rsidR="00585378" w:rsidRPr="001D6DB5" w:rsidRDefault="00585378" w:rsidP="0058537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1D6DB5">
        <w:rPr>
          <w:b/>
          <w:i/>
          <w:sz w:val="16"/>
          <w:szCs w:val="16"/>
        </w:rPr>
        <w:t>Чита</w:t>
      </w:r>
      <w:r w:rsidR="00995D76" w:rsidRPr="001D6DB5">
        <w:rPr>
          <w:b/>
          <w:i/>
          <w:sz w:val="16"/>
          <w:szCs w:val="16"/>
        </w:rPr>
        <w:t>е</w:t>
      </w:r>
      <w:r w:rsidRPr="001D6DB5">
        <w:rPr>
          <w:b/>
          <w:i/>
          <w:sz w:val="16"/>
          <w:szCs w:val="16"/>
        </w:rPr>
        <w:t xml:space="preserve">т: </w:t>
      </w:r>
      <w:r w:rsidRPr="001D6DB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1D6DB5">
        <w:rPr>
          <w:b/>
          <w:i/>
        </w:rPr>
        <w:t xml:space="preserve"> </w:t>
      </w:r>
      <w:r w:rsidRPr="001D6DB5">
        <w:rPr>
          <w:b/>
          <w:sz w:val="14"/>
          <w:szCs w:val="14"/>
        </w:rPr>
        <w:t xml:space="preserve">-  </w:t>
      </w:r>
      <w:r w:rsidRPr="001D6DB5">
        <w:rPr>
          <w:spacing w:val="-4"/>
          <w:sz w:val="16"/>
          <w:szCs w:val="16"/>
        </w:rPr>
        <w:t>к.э.н.</w:t>
      </w:r>
      <w:r w:rsidRPr="001D6DB5">
        <w:rPr>
          <w:sz w:val="16"/>
          <w:szCs w:val="16"/>
        </w:rPr>
        <w:t xml:space="preserve">, аудитор-практик, </w:t>
      </w:r>
      <w:r w:rsidR="001438D2" w:rsidRPr="001D6DB5">
        <w:rPr>
          <w:sz w:val="16"/>
          <w:szCs w:val="16"/>
        </w:rPr>
        <w:t xml:space="preserve">консультант-практик </w:t>
      </w:r>
      <w:r w:rsidR="001438D2">
        <w:rPr>
          <w:sz w:val="16"/>
          <w:szCs w:val="16"/>
        </w:rPr>
        <w:t xml:space="preserve"> с многолетним опытом работы </w:t>
      </w:r>
      <w:r w:rsidR="001438D2" w:rsidRPr="001D6DB5">
        <w:rPr>
          <w:sz w:val="16"/>
          <w:szCs w:val="16"/>
        </w:rPr>
        <w:t xml:space="preserve">с учреждениями </w:t>
      </w:r>
      <w:r w:rsidR="001438D2">
        <w:rPr>
          <w:sz w:val="16"/>
          <w:szCs w:val="16"/>
        </w:rPr>
        <w:t>госсектора по бюджетному учету, отчетности, заработной плате, учету НФА и др,</w:t>
      </w:r>
      <w:r w:rsidR="001438D2" w:rsidRPr="001D6DB5">
        <w:rPr>
          <w:sz w:val="16"/>
          <w:szCs w:val="16"/>
        </w:rPr>
        <w:t xml:space="preserve"> </w:t>
      </w:r>
      <w:r w:rsidRPr="001D6DB5">
        <w:rPr>
          <w:sz w:val="16"/>
          <w:szCs w:val="16"/>
        </w:rPr>
        <w:t>консультант-эксперт по формированию планов ФХД государственных (муниципальных) учреждений, автор более 50 книг серии книг по бюджетному учету, планированию в бюджетной сфере, бухгалтерскому учету</w:t>
      </w:r>
      <w:r w:rsidR="001438D2">
        <w:rPr>
          <w:sz w:val="16"/>
          <w:szCs w:val="16"/>
        </w:rPr>
        <w:t xml:space="preserve">, заработной плате, НФА </w:t>
      </w:r>
      <w:r w:rsidRPr="001D6DB5">
        <w:rPr>
          <w:sz w:val="16"/>
          <w:szCs w:val="16"/>
        </w:rPr>
        <w:t xml:space="preserve"> и др</w:t>
      </w:r>
      <w:r w:rsidR="001438D2">
        <w:rPr>
          <w:sz w:val="16"/>
          <w:szCs w:val="16"/>
        </w:rPr>
        <w:t>.</w:t>
      </w:r>
    </w:p>
    <w:p w14:paraId="364A4845" w14:textId="77777777" w:rsidR="00585378" w:rsidRPr="001D6DB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1D6DB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1D6DB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61DC5D71" w14:textId="77777777" w:rsidR="00074E9B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>Стоимость участия  за одного слушателя за 2 дня:</w:t>
      </w:r>
    </w:p>
    <w:p w14:paraId="0F98914D" w14:textId="776CAA8F" w:rsidR="00E05E02" w:rsidRPr="00074E9B" w:rsidRDefault="00074E9B" w:rsidP="00074E9B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Клиентам Центра – 8900 руб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585378"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12959533" w14:textId="2A727A87" w:rsidR="00585378" w:rsidRPr="001D6DB5" w:rsidRDefault="001475D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10200 </w:t>
      </w:r>
      <w:r w:rsidR="00864BFB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руб  </w:t>
      </w:r>
      <w:r w:rsidR="00864BFB"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04D365B0" w14:textId="07085401" w:rsidR="00630269" w:rsidRPr="001D6DB5" w:rsidRDefault="00C90666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FE43BA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14.02.2025</w:t>
      </w:r>
      <w:r w:rsidR="00630269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– 9200 руб</w:t>
      </w:r>
    </w:p>
    <w:p w14:paraId="65212E40" w14:textId="2BD6A0EC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1D6DB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023F29A8" w14:textId="77777777" w:rsidR="00585378" w:rsidRPr="001D6DB5" w:rsidRDefault="00585378" w:rsidP="00585378">
      <w:pPr>
        <w:jc w:val="center"/>
        <w:rPr>
          <w:color w:val="00B050"/>
          <w:sz w:val="18"/>
          <w:szCs w:val="18"/>
        </w:rPr>
      </w:pPr>
      <w:r w:rsidRPr="001D6DB5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1D6DB5">
        <w:rPr>
          <w:caps/>
          <w:color w:val="00B050"/>
          <w:sz w:val="18"/>
          <w:szCs w:val="18"/>
        </w:rPr>
        <w:t>впо</w:t>
      </w:r>
      <w:r w:rsidRPr="001D6DB5">
        <w:rPr>
          <w:color w:val="00B050"/>
          <w:sz w:val="18"/>
          <w:szCs w:val="18"/>
        </w:rPr>
        <w:t xml:space="preserve"> или </w:t>
      </w:r>
      <w:r w:rsidRPr="001D6DB5">
        <w:rPr>
          <w:caps/>
          <w:color w:val="00B050"/>
          <w:sz w:val="18"/>
          <w:szCs w:val="18"/>
        </w:rPr>
        <w:t>спо</w:t>
      </w:r>
      <w:r w:rsidRPr="001D6DB5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77777777" w:rsidR="00585378" w:rsidRPr="001D6DB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D6DB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1EDD17D1" w:rsidR="00995D76" w:rsidRPr="001D6DB5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1475D8"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УДОСТОВЕРЕНИЕ о повышении квалификации, </w:t>
      </w:r>
    </w:p>
    <w:p w14:paraId="12AB81A7" w14:textId="66D735B2" w:rsidR="00585378" w:rsidRPr="001D6DB5" w:rsidRDefault="00585378" w:rsidP="00585378">
      <w:pPr>
        <w:jc w:val="center"/>
        <w:rPr>
          <w:b/>
          <w:i/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1D6DB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99B21E" w14:textId="77777777" w:rsidR="00585378" w:rsidRPr="001D6DB5" w:rsidRDefault="00585378" w:rsidP="00585378">
      <w:pPr>
        <w:tabs>
          <w:tab w:val="left" w:pos="0"/>
          <w:tab w:val="left" w:pos="142"/>
          <w:tab w:val="center" w:pos="5386"/>
        </w:tabs>
        <w:spacing w:before="10" w:line="216" w:lineRule="auto"/>
        <w:ind w:right="-33"/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1D6DB5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D6DB5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1D6DB5">
        <w:rPr>
          <w:rFonts w:eastAsia="SimSun"/>
          <w:b/>
          <w:u w:val="single"/>
          <w:lang w:eastAsia="zh-CN"/>
        </w:rPr>
        <w:t xml:space="preserve">: на </w:t>
      </w:r>
      <w:r w:rsidRPr="001D6DB5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1D6DB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1D6DB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1D6DB5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1D6DB5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1D6DB5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1D6DB5">
        <w:rPr>
          <w:rFonts w:eastAsia="SimSun"/>
          <w:color w:val="FF0000"/>
          <w:sz w:val="32"/>
          <w:szCs w:val="32"/>
          <w:lang w:eastAsia="zh-CN"/>
        </w:rPr>
        <w:t>–</w:t>
      </w:r>
      <w:r w:rsidRPr="001D6DB5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1D6DB5">
        <w:rPr>
          <w:rFonts w:eastAsia="SimSun"/>
          <w:b/>
          <w:sz w:val="32"/>
          <w:szCs w:val="32"/>
          <w:lang w:eastAsia="zh-CN"/>
        </w:rPr>
        <w:t xml:space="preserve"> </w:t>
      </w:r>
      <w:r w:rsidRPr="001D6DB5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1D6DB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1D6DB5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69F67282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E93DE3D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9C18B0B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110030BE" w14:textId="7D7E2604" w:rsidR="001475D8" w:rsidRPr="001438D2" w:rsidRDefault="001438D2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>**</w:t>
      </w:r>
      <w:r w:rsidR="001475D8"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положения по инвентаризации и документообороту на </w:t>
      </w: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>2025</w:t>
      </w:r>
      <w:r w:rsidR="001475D8"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 год в электронном виде </w:t>
      </w:r>
    </w:p>
    <w:p w14:paraId="4F5A935B" w14:textId="2892A507" w:rsidR="001475D8" w:rsidRPr="001438D2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 xml:space="preserve">с учетом новых требований МФ РФ – дополнительная стоимость </w:t>
      </w:r>
      <w:r w:rsidR="001438D2" w:rsidRPr="001438D2">
        <w:rPr>
          <w:rStyle w:val="a6"/>
          <w:b/>
          <w:i w:val="0"/>
          <w:smallCaps/>
          <w:sz w:val="36"/>
          <w:szCs w:val="36"/>
        </w:rPr>
        <w:t>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60D3FBF3" w14:textId="77777777" w:rsidR="001475D8" w:rsidRPr="001D6DB5" w:rsidRDefault="001475D8" w:rsidP="001475D8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3F7576B7" w14:textId="60CF06A4" w:rsidR="001475D8" w:rsidRPr="001D6DB5" w:rsidRDefault="001475D8" w:rsidP="001475D8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- 2025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C135E29" w14:textId="7F9D3C3E" w:rsidR="001438D2" w:rsidRDefault="001438D2" w:rsidP="001438D2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059EF02F" w14:textId="75AD1534" w:rsidR="001475D8" w:rsidRPr="001438D2" w:rsidRDefault="001475D8" w:rsidP="001475D8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70BDE7" w14:textId="11FABB12" w:rsidR="001475D8" w:rsidRPr="001D6DB5" w:rsidRDefault="001475D8" w:rsidP="001438D2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 w:rsidR="001438D2"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4D321B49" w14:textId="67EF4398" w:rsidR="001475D8" w:rsidRPr="001438D2" w:rsidRDefault="001475D8" w:rsidP="001438D2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1438D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="001438D2" w:rsidRPr="001438D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6</w:t>
      </w:r>
      <w:r w:rsidRPr="001438D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500 руб</w:t>
      </w:r>
    </w:p>
    <w:p w14:paraId="2775C012" w14:textId="03DB5C03" w:rsidR="00FE43BA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22A41A58" w14:textId="77777777" w:rsidR="00FE43BA" w:rsidRPr="00FE43BA" w:rsidRDefault="00FE43BA" w:rsidP="00FE43BA">
      <w:pPr>
        <w:rPr>
          <w:rFonts w:eastAsia="SimSun"/>
          <w:lang w:eastAsia="zh-CN"/>
        </w:rPr>
      </w:pPr>
    </w:p>
    <w:p w14:paraId="116590FF" w14:textId="0C93575C" w:rsidR="00FE43BA" w:rsidRDefault="00FE43BA" w:rsidP="00FE43BA">
      <w:pPr>
        <w:rPr>
          <w:rFonts w:eastAsia="SimSun"/>
          <w:lang w:eastAsia="zh-CN"/>
        </w:rPr>
      </w:pPr>
    </w:p>
    <w:p w14:paraId="28177237" w14:textId="6B855106" w:rsidR="00FE43BA" w:rsidRDefault="00FE43BA" w:rsidP="00FE43BA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rFonts w:ascii="Arial" w:hAnsi="Arial" w:cs="Arial"/>
          <w:color w:val="C00000"/>
          <w:sz w:val="22"/>
          <w:szCs w:val="22"/>
        </w:rPr>
      </w:pPr>
      <w:r>
        <w:rPr>
          <w:rFonts w:eastAsia="SimSun"/>
          <w:lang w:eastAsia="zh-CN"/>
        </w:rPr>
        <w:tab/>
      </w:r>
      <w:r>
        <w:rPr>
          <w:rStyle w:val="a6"/>
          <w:rFonts w:ascii="Arial" w:hAnsi="Arial" w:cs="Arial"/>
          <w:color w:val="C00000"/>
          <w:sz w:val="22"/>
          <w:szCs w:val="22"/>
        </w:rPr>
        <w:t xml:space="preserve"> </w:t>
      </w:r>
    </w:p>
    <w:p w14:paraId="0B8B204B" w14:textId="736295BD" w:rsidR="00A15983" w:rsidRPr="00FE43BA" w:rsidRDefault="00A15983" w:rsidP="00FE43BA">
      <w:pPr>
        <w:tabs>
          <w:tab w:val="left" w:pos="4425"/>
        </w:tabs>
        <w:rPr>
          <w:rFonts w:eastAsia="SimSun"/>
          <w:lang w:eastAsia="zh-CN"/>
        </w:rPr>
      </w:pPr>
    </w:p>
    <w:sectPr w:rsidR="00A15983" w:rsidRPr="00FE43BA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7DB35" w14:textId="77777777" w:rsidR="002A7B20" w:rsidRDefault="002A7B20" w:rsidP="00037D6E">
      <w:r>
        <w:separator/>
      </w:r>
    </w:p>
  </w:endnote>
  <w:endnote w:type="continuationSeparator" w:id="0">
    <w:p w14:paraId="165C2F04" w14:textId="77777777" w:rsidR="002A7B20" w:rsidRDefault="002A7B20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CAE2" w14:textId="77777777" w:rsidR="002A7B20" w:rsidRDefault="002A7B20" w:rsidP="00037D6E">
      <w:r>
        <w:separator/>
      </w:r>
    </w:p>
  </w:footnote>
  <w:footnote w:type="continuationSeparator" w:id="0">
    <w:p w14:paraId="1CBF7642" w14:textId="77777777" w:rsidR="002A7B20" w:rsidRDefault="002A7B20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A8485500"/>
    <w:lvl w:ilvl="0" w:tplc="5F3C10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4"/>
  </w:num>
  <w:num w:numId="5">
    <w:abstractNumId w:val="19"/>
  </w:num>
  <w:num w:numId="6">
    <w:abstractNumId w:val="13"/>
  </w:num>
  <w:num w:numId="7">
    <w:abstractNumId w:val="4"/>
  </w:num>
  <w:num w:numId="8">
    <w:abstractNumId w:val="37"/>
  </w:num>
  <w:num w:numId="9">
    <w:abstractNumId w:val="44"/>
  </w:num>
  <w:num w:numId="10">
    <w:abstractNumId w:val="43"/>
  </w:num>
  <w:num w:numId="11">
    <w:abstractNumId w:val="15"/>
  </w:num>
  <w:num w:numId="12">
    <w:abstractNumId w:val="35"/>
  </w:num>
  <w:num w:numId="13">
    <w:abstractNumId w:val="31"/>
  </w:num>
  <w:num w:numId="14">
    <w:abstractNumId w:val="25"/>
  </w:num>
  <w:num w:numId="15">
    <w:abstractNumId w:val="17"/>
  </w:num>
  <w:num w:numId="16">
    <w:abstractNumId w:val="21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5"/>
  </w:num>
  <w:num w:numId="22">
    <w:abstractNumId w:val="23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4"/>
  </w:num>
  <w:num w:numId="28">
    <w:abstractNumId w:val="28"/>
  </w:num>
  <w:num w:numId="29">
    <w:abstractNumId w:val="9"/>
  </w:num>
  <w:num w:numId="30">
    <w:abstractNumId w:val="20"/>
  </w:num>
  <w:num w:numId="31">
    <w:abstractNumId w:val="24"/>
  </w:num>
  <w:num w:numId="32">
    <w:abstractNumId w:val="38"/>
  </w:num>
  <w:num w:numId="33">
    <w:abstractNumId w:val="42"/>
  </w:num>
  <w:num w:numId="34">
    <w:abstractNumId w:val="36"/>
  </w:num>
  <w:num w:numId="35">
    <w:abstractNumId w:val="22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1"/>
  </w:num>
  <w:num w:numId="46">
    <w:abstractNumId w:val="3"/>
  </w:num>
  <w:num w:numId="4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m8icUFRPrmPisRXPPfXKIvOvWOFsjzo82fE19uL9+YIxbmL7VE0wTrp03fd5DmkPVh31p9wvU/htE/FjRi+duQ==" w:salt="yiskng5ribWIMFHO9+QZ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4E9B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477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38D2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D6DB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A7B20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0A51"/>
    <w:rsid w:val="00401A2E"/>
    <w:rsid w:val="00404BBC"/>
    <w:rsid w:val="004144D9"/>
    <w:rsid w:val="004237EC"/>
    <w:rsid w:val="00426495"/>
    <w:rsid w:val="00427D7C"/>
    <w:rsid w:val="00430762"/>
    <w:rsid w:val="004358E4"/>
    <w:rsid w:val="00435D15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4ED0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44AD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3BA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EE3E-A497-40EF-85C5-991E53C8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31</cp:revision>
  <cp:lastPrinted>2022-06-08T05:57:00Z</cp:lastPrinted>
  <dcterms:created xsi:type="dcterms:W3CDTF">2023-10-12T05:41:00Z</dcterms:created>
  <dcterms:modified xsi:type="dcterms:W3CDTF">2025-01-19T16:07:00Z</dcterms:modified>
</cp:coreProperties>
</file>