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8AEF" w14:textId="3FA4DB46" w:rsidR="00EF7578" w:rsidRPr="00EF7578" w:rsidRDefault="00EF7578" w:rsidP="00EF7578">
      <w:pPr>
        <w:pStyle w:val="4"/>
        <w:jc w:val="center"/>
        <w:rPr>
          <w:rFonts w:ascii="Times New Roman" w:hAnsi="Times New Roman" w:cs="Times New Roman"/>
          <w:b/>
          <w:i w:val="0"/>
          <w:iCs w:val="0"/>
          <w:color w:val="00B050"/>
          <w:sz w:val="32"/>
          <w:szCs w:val="32"/>
        </w:rPr>
      </w:pPr>
      <w:bookmarkStart w:id="0" w:name="_Hlk112095336"/>
      <w:bookmarkStart w:id="1" w:name="_GoBack"/>
      <w:bookmarkEnd w:id="1"/>
      <w:r w:rsidRPr="00EF7578">
        <w:rPr>
          <w:rFonts w:ascii="Times New Roman" w:hAnsi="Times New Roman" w:cs="Times New Roman"/>
          <w:b/>
          <w:i w:val="0"/>
          <w:iCs w:val="0"/>
          <w:color w:val="00B050"/>
          <w:sz w:val="32"/>
          <w:szCs w:val="32"/>
        </w:rPr>
        <w:t>Революционные изменения для госсектора</w:t>
      </w:r>
    </w:p>
    <w:p w14:paraId="073741C7" w14:textId="59E9E3D0" w:rsidR="00585378" w:rsidRPr="001D6DB5" w:rsidRDefault="001D6DB5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 w:rsidRPr="001D6DB5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04CE7B8C">
            <wp:simplePos x="0" y="0"/>
            <wp:positionH relativeFrom="column">
              <wp:posOffset>-208915</wp:posOffset>
            </wp:positionH>
            <wp:positionV relativeFrom="paragraph">
              <wp:posOffset>-292735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, бухгалтерам мат. группы,  экономистам и др </w:t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14:paraId="6DE32FA7" w14:textId="4AFE630A" w:rsidR="00585378" w:rsidRPr="001D6DB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1D6DB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2F206FE5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1D6DB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rStyle w:val="a5"/>
          <w:color w:val="000000"/>
          <w:sz w:val="18"/>
          <w:szCs w:val="18"/>
        </w:rPr>
        <w:t xml:space="preserve"> </w:t>
      </w:r>
      <w:r w:rsidRPr="001D6DB5">
        <w:rPr>
          <w:rStyle w:val="a5"/>
          <w:color w:val="000000"/>
          <w:sz w:val="18"/>
          <w:szCs w:val="18"/>
          <w:u w:val="double"/>
        </w:rPr>
        <w:t xml:space="preserve">  </w:t>
      </w:r>
      <w:r w:rsidRPr="001D6DB5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</w:p>
    <w:p w14:paraId="0A717412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</w:p>
    <w:p w14:paraId="3D7E7BC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  <w:r w:rsidRPr="001D6DB5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1D6DB5">
        <w:rPr>
          <w:b w:val="0"/>
          <w:bCs/>
          <w:sz w:val="14"/>
          <w:szCs w:val="14"/>
        </w:rPr>
        <w:t>проводит</w:t>
      </w:r>
      <w:r w:rsidRPr="001D6DB5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8FDB1CC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2"/>
          <w:szCs w:val="12"/>
          <w:highlight w:val="yellow"/>
        </w:rPr>
        <w:t xml:space="preserve">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110477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1D6DB5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1D6DB5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3E239477" w:rsidR="00585378" w:rsidRPr="001D6DB5" w:rsidRDefault="006D01D5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30-31 Октября</w:t>
      </w:r>
      <w:r w:rsidR="001475D8" w:rsidRPr="001D6DB5">
        <w:rPr>
          <w:smallCaps/>
          <w:color w:val="FF0000"/>
          <w:sz w:val="36"/>
          <w:szCs w:val="36"/>
          <w:u w:val="single"/>
        </w:rPr>
        <w:t xml:space="preserve"> </w:t>
      </w:r>
      <w:r w:rsidR="001D6DB5" w:rsidRPr="001D6DB5">
        <w:rPr>
          <w:smallCaps/>
          <w:color w:val="FF0000"/>
          <w:sz w:val="36"/>
          <w:szCs w:val="36"/>
          <w:u w:val="single"/>
        </w:rPr>
        <w:t xml:space="preserve"> 2025</w:t>
      </w:r>
    </w:p>
    <w:p w14:paraId="4FAF027C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1D6DB5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6"/>
          <w:szCs w:val="16"/>
        </w:rPr>
        <w:t xml:space="preserve"> </w:t>
      </w:r>
      <w:r w:rsidRPr="001D6DB5">
        <w:rPr>
          <w:sz w:val="12"/>
          <w:szCs w:val="12"/>
        </w:rPr>
        <w:t xml:space="preserve"> </w:t>
      </w:r>
      <w:r w:rsidRPr="001D6DB5">
        <w:rPr>
          <w:sz w:val="14"/>
          <w:szCs w:val="14"/>
        </w:rPr>
        <w:t xml:space="preserve">в программе:  </w:t>
      </w:r>
    </w:p>
    <w:p w14:paraId="62466458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1D6DB5">
        <w:rPr>
          <w:b/>
          <w:bCs/>
          <w:sz w:val="12"/>
          <w:szCs w:val="12"/>
        </w:rPr>
        <w:t>_____________________________________________________________</w:t>
      </w:r>
      <w:r w:rsidRPr="001D6DB5">
        <w:rPr>
          <w:b/>
          <w:bCs/>
          <w:sz w:val="4"/>
          <w:szCs w:val="4"/>
        </w:rPr>
        <w:t>_</w:t>
      </w:r>
      <w:r w:rsidRPr="001D6DB5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1D6DB5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1D6DB5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1D6DB5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1D6DB5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1D6DB5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1D6DB5">
        <w:rPr>
          <w:bCs/>
          <w:sz w:val="20"/>
          <w:szCs w:val="20"/>
          <w:highlight w:val="yellow"/>
        </w:rPr>
        <w:t>Для профессионального стандарта "</w:t>
      </w:r>
      <w:r w:rsidRPr="001D6DB5">
        <w:rPr>
          <w:b/>
          <w:sz w:val="20"/>
          <w:szCs w:val="20"/>
          <w:highlight w:val="yellow"/>
        </w:rPr>
        <w:t>БУХГАЛТЕР"</w:t>
      </w:r>
      <w:r w:rsidRPr="001D6DB5">
        <w:rPr>
          <w:bCs/>
          <w:sz w:val="20"/>
          <w:szCs w:val="20"/>
          <w:highlight w:val="yellow"/>
        </w:rPr>
        <w:t xml:space="preserve"> </w:t>
      </w:r>
      <w:r w:rsidRPr="001D6DB5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1D6DB5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1D6DB5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1D6DB5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1D6DB5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1D6DB5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1D6DB5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7BE9BC26" w14:textId="4681FBB2" w:rsidR="006D01D5" w:rsidRPr="006D01D5" w:rsidRDefault="006D01D5" w:rsidP="006D01D5">
      <w:pPr>
        <w:jc w:val="center"/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  <w:shd w:val="clear" w:color="auto" w:fill="FFFFFF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«УЧЕТ НЕФИНАНСОВЫХ АКТИВОВ УЧРЕЖДЕНИЯМИ ГОССЕКТОРА В 2025-2026 ГОДАХ С УЧЕТОМ ПРИМЕНЕНИЯ НОВЫХ ФСБУ С 01 ЯНВАРЯ 2026 ГОДА»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  <w:t xml:space="preserve"> </w:t>
      </w:r>
    </w:p>
    <w:p w14:paraId="725721EA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1D6DB5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1D6DB5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1D6DB5">
        <w:rPr>
          <w:rStyle w:val="a6"/>
          <w:sz w:val="18"/>
          <w:szCs w:val="18"/>
        </w:rPr>
        <w:t>, органов власти</w:t>
      </w:r>
      <w:r w:rsidRPr="001D6DB5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1D6DB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25DAEEA4" w:rsidR="00585378" w:rsidRPr="00042F1C" w:rsidRDefault="00585378" w:rsidP="00585378">
      <w:pPr>
        <w:pBdr>
          <w:bottom w:val="single" w:sz="12" w:space="1" w:color="auto"/>
        </w:pBdr>
        <w:ind w:left="284"/>
        <w:jc w:val="center"/>
        <w:rPr>
          <w:b/>
          <w:color w:val="7030A0"/>
          <w:sz w:val="22"/>
          <w:szCs w:val="22"/>
        </w:rPr>
      </w:pPr>
      <w:r w:rsidRPr="001D6DB5">
        <w:rPr>
          <w:b/>
          <w:color w:val="7030A0"/>
        </w:rPr>
        <w:t xml:space="preserve">на площадке </w:t>
      </w:r>
      <w:r w:rsidR="00864BFB" w:rsidRPr="001D6DB5">
        <w:rPr>
          <w:b/>
          <w:color w:val="7030A0"/>
          <w:sz w:val="22"/>
          <w:szCs w:val="22"/>
        </w:rPr>
        <w:t xml:space="preserve">МТС </w:t>
      </w:r>
      <w:r w:rsidR="00864BFB" w:rsidRPr="001D6DB5">
        <w:rPr>
          <w:b/>
          <w:color w:val="7030A0"/>
          <w:sz w:val="22"/>
          <w:szCs w:val="22"/>
          <w:lang w:val="en-US"/>
        </w:rPr>
        <w:t>Link</w:t>
      </w:r>
    </w:p>
    <w:p w14:paraId="070C4A7D" w14:textId="77777777" w:rsidR="006D01D5" w:rsidRPr="006D01D5" w:rsidRDefault="006D01D5" w:rsidP="00585378">
      <w:pPr>
        <w:ind w:left="284"/>
        <w:jc w:val="center"/>
        <w:rPr>
          <w:b/>
          <w:color w:val="7030A0"/>
          <w:sz w:val="8"/>
          <w:szCs w:val="8"/>
        </w:rPr>
      </w:pPr>
    </w:p>
    <w:p w14:paraId="709146F1" w14:textId="4495BA2B" w:rsid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</w:rPr>
      </w:pPr>
      <w:r w:rsidRPr="006D01D5">
        <w:rPr>
          <w:rFonts w:ascii="Arial" w:hAnsi="Arial" w:cs="Arial"/>
          <w:b/>
          <w:bCs/>
          <w:i/>
          <w:color w:val="00B050"/>
        </w:rPr>
        <w:t>Минфином РФ опубликованы проекты новых инструкций по применению типовой корреспонденции счетов и увязка бухгалтерских записей с электронными первичными документами. В ходе обучения будем разбирать увязку документов в системе ЭДО, отражающих движение НФА, а также особенности построения корреспонденции счетов и требования к учету и отчетности НФА в свете новых ФСБУ.</w:t>
      </w:r>
    </w:p>
    <w:p w14:paraId="3F13DDFC" w14:textId="77777777" w:rsidR="006D01D5" w:rsidRP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  <w:sz w:val="8"/>
          <w:szCs w:val="8"/>
        </w:rPr>
      </w:pPr>
    </w:p>
    <w:p w14:paraId="4B5D85BE" w14:textId="41E8F908" w:rsidR="006D01D5" w:rsidRPr="006D01D5" w:rsidRDefault="006D01D5" w:rsidP="006D01D5">
      <w:pPr>
        <w:pStyle w:val="af"/>
        <w:numPr>
          <w:ilvl w:val="0"/>
          <w:numId w:val="46"/>
        </w:numPr>
        <w:tabs>
          <w:tab w:val="left" w:pos="426"/>
        </w:tabs>
        <w:spacing w:before="16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Требования к формированию Рабочего плана счетов на 2026 год (применение приказа МФ РФ от 30.08.2024 № 121н):</w:t>
      </w:r>
      <w:r w:rsidRPr="006D01D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структура счетов по учету НФА. Понятие активного счета и последствия применения метода «Красное сторно». Нюансы аналитического учета счетов НФА. Особенности учета на забалансовых счетах – 01,02,03,09, 21,25,26,27</w:t>
      </w:r>
    </w:p>
    <w:p w14:paraId="5DE0A85B" w14:textId="28703F8F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по формированию журналов-операций</w:t>
      </w:r>
      <w:r w:rsidRPr="006D01D5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</w:t>
      </w:r>
    </w:p>
    <w:p w14:paraId="0EA79F33" w14:textId="7C4A14C9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 xml:space="preserve">Новые требования к материальной ответственности (приказ Минтруда и соцзащиты от 16.04.2025 № 251н). </w:t>
      </w:r>
      <w:r w:rsidRPr="006D01D5">
        <w:rPr>
          <w:rFonts w:ascii="Times New Roman" w:hAnsi="Times New Roman"/>
          <w:sz w:val="24"/>
          <w:szCs w:val="24"/>
        </w:rPr>
        <w:t xml:space="preserve">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Особенности привлечения работника к полной материальной ответственности,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 Участие МОЛа (ОЛа) в инвентаризации: </w:t>
      </w:r>
      <w:r w:rsidRPr="006D01D5">
        <w:rPr>
          <w:rFonts w:ascii="Times New Roman" w:hAnsi="Times New Roman"/>
          <w:sz w:val="24"/>
          <w:szCs w:val="24"/>
        </w:rPr>
        <w:lastRenderedPageBreak/>
        <w:t xml:space="preserve">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14:paraId="4F932FD5" w14:textId="7D04BAC3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Работа комиссий в учреждении при учете движения НФА</w:t>
      </w:r>
      <w:r w:rsidRPr="00307CCD">
        <w:rPr>
          <w:rFonts w:ascii="Times New Roman" w:hAnsi="Times New Roman"/>
          <w:b/>
          <w:bCs/>
          <w:sz w:val="26"/>
          <w:szCs w:val="26"/>
        </w:rPr>
        <w:t>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Включение работников состав комиссии.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 </w:t>
      </w:r>
      <w:r w:rsidRPr="00307CCD">
        <w:rPr>
          <w:rFonts w:ascii="Times New Roman" w:hAnsi="Times New Roman"/>
          <w:i/>
          <w:iCs/>
          <w:color w:val="FF0000"/>
          <w:sz w:val="24"/>
          <w:szCs w:val="24"/>
          <w:highlight w:val="yellow"/>
          <w:u w:val="single"/>
        </w:rPr>
        <w:t>Доработка положений по работе комиссий в свете новых инструкций по применению типовой корреспонденции счето</w:t>
      </w:r>
      <w:r w:rsidRPr="00307CC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в</w:t>
      </w:r>
      <w:r w:rsidRPr="006D01D5"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6D01D5">
        <w:rPr>
          <w:rFonts w:ascii="Times New Roman" w:hAnsi="Times New Roman"/>
          <w:sz w:val="24"/>
          <w:szCs w:val="24"/>
        </w:rPr>
        <w:t>Взаимодействие учреждения с централизованной бухгалтерией – полномочия ЦБ, осуществление контрольных мероприятий. Составление членом комиссии особого мнения.  Отсутствие члена комиссии</w:t>
      </w:r>
    </w:p>
    <w:p w14:paraId="5C9EE315" w14:textId="2CF1FF6F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Проведение инвентаризации в 2025 году при подготовке к годовой отчетности (письмо Минфина РФ от 01.07.2024 № 02-06-06/61122).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Нормативное регулирование проведение инвентаризации. Организация проведения инвентаризации – создание инвентаризационной комиссии, участие МОЛов в составе инвентаризационной комиссии, участие бухгалтера в инвентаризации, отсутствие члена комиссии при проведении инвентаризации. Предварительный, основной этапы проведения инвентаризации. Установление временных периодов для инвентаризации. Оформление результатов инвентаризации. Организация внутреннего контроля. Рекомендации по формированию положений по проведению инвентаризации. </w:t>
      </w:r>
      <w:r w:rsidRPr="006D01D5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307CCD">
        <w:rPr>
          <w:rFonts w:ascii="Times New Roman" w:hAnsi="Times New Roman"/>
          <w:b/>
          <w:bCs/>
          <w:color w:val="C00000"/>
          <w:sz w:val="24"/>
          <w:szCs w:val="24"/>
          <w:highlight w:val="yellow"/>
        </w:rPr>
        <w:t>Документооборот в системе ЭДО при выявлении излишков и недостач.</w:t>
      </w:r>
      <w:r w:rsidRPr="00307CC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07CCD">
        <w:rPr>
          <w:rFonts w:ascii="Times New Roman" w:hAnsi="Times New Roman"/>
          <w:b/>
          <w:bCs/>
          <w:color w:val="C00000"/>
          <w:sz w:val="24"/>
          <w:szCs w:val="24"/>
          <w:highlight w:val="yellow"/>
        </w:rPr>
        <w:t>Определении размера ущерба, причиненного недостачами, хищениями. Новые требования к документообороту в системе ЭДО по результатам инвентаризации.</w:t>
      </w:r>
      <w:r w:rsidRPr="006D01D5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  Понятие справедливой стоимости, способы оценки. Увязка данных формы с другими формами отчетности. Учет личных вещей сотрудников.</w:t>
      </w:r>
    </w:p>
    <w:p w14:paraId="567A7B43" w14:textId="61CABF12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Учет нефинансовых активов в системе ЭДО с учетом разъяснений Минфина РФ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(письма МФ РФ от 01.04.2024 № 02-06-06/29423, от 30.07.2024 № 02-06-06/70843, от 29.11.2024 №</w:t>
      </w:r>
      <w:r w:rsidRPr="006D01D5">
        <w:rPr>
          <w:rFonts w:ascii="Times New Roman" w:hAnsi="Times New Roman"/>
          <w:sz w:val="24"/>
          <w:szCs w:val="24"/>
        </w:rPr>
        <w:t xml:space="preserve"> </w:t>
      </w:r>
      <w:r w:rsidRPr="006D01D5">
        <w:rPr>
          <w:rFonts w:ascii="Times New Roman" w:hAnsi="Times New Roman"/>
          <w:b/>
          <w:bCs/>
          <w:sz w:val="24"/>
          <w:szCs w:val="24"/>
        </w:rPr>
        <w:t>02-06-06/120312).</w:t>
      </w:r>
    </w:p>
    <w:p w14:paraId="33D7A2FD" w14:textId="1ED27E24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основных средств. Применение СГС «Основные средства»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14:paraId="7294A218" w14:textId="3D75B4EA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 xml:space="preserve">- Возможные ошибки при принятии решения и их влияние на финансовое обеспечение учреждения. Критерии «не актив».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14:paraId="4B1B58EC" w14:textId="08249499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 xml:space="preserve">- Исправление ошибок прошлых лет. </w:t>
      </w:r>
    </w:p>
    <w:p w14:paraId="732F2648" w14:textId="6B58FC93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НМА.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Назначение ответственных лиц за контроль за движением НМА. Критерии отнесения объектов к НМА, определение сроков полезного использования. Применение КОСГУ и бюджетной классификации в отношении расходов на приобретение неисключительных прав пользования и исключительных прав на РИД. Получение неисключительного права использования программного обеспечения по лицензионным договорам. Отражение в учете принятия, выбытия нефинансовых активов. Документальное оформление операций по движению НМА.</w:t>
      </w:r>
    </w:p>
    <w:p w14:paraId="72DC7C1C" w14:textId="3E9EE746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МЗ.</w:t>
      </w:r>
      <w:r w:rsidRPr="006D01D5">
        <w:rPr>
          <w:rFonts w:ascii="Times New Roman" w:hAnsi="Times New Roman"/>
          <w:sz w:val="24"/>
          <w:szCs w:val="24"/>
        </w:rPr>
        <w:t xml:space="preserve">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14:paraId="0F922401" w14:textId="3A4C8117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>- Организация документооборота отдельных видов МЗ: ГСМ, подарки, мягкий инвентарь, хозяйственные средства, канцтовары, прочие.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14:paraId="747BE824" w14:textId="71670AF7" w:rsidR="006D01D5" w:rsidRPr="006D01D5" w:rsidRDefault="006D01D5" w:rsidP="006D01D5">
      <w:pPr>
        <w:tabs>
          <w:tab w:val="left" w:pos="426"/>
        </w:tabs>
        <w:jc w:val="both"/>
      </w:pPr>
      <w:r w:rsidRPr="006D01D5">
        <w:t xml:space="preserve">- Разработка неунифицированных форм для обоснования списания МЗ. </w:t>
      </w:r>
    </w:p>
    <w:p w14:paraId="5085AC9B" w14:textId="5068140C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lastRenderedPageBreak/>
        <w:t>Документы, оформляемые МОЛами в системе ЭДО.</w:t>
      </w:r>
      <w:r w:rsidRPr="006D01D5">
        <w:rPr>
          <w:rFonts w:ascii="Times New Roman" w:hAnsi="Times New Roman"/>
          <w:sz w:val="24"/>
          <w:szCs w:val="24"/>
        </w:rPr>
        <w:t xml:space="preserve"> Акт приема-передачи объектов, полученных в личное пользование (ф. 0510434). 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0510521), Акт приемки товаров, работ, услуг (ф. 0510452).</w:t>
      </w:r>
    </w:p>
    <w:p w14:paraId="333B9625" w14:textId="2AF97106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Особенности применения бюджетной классификации и ее влияние на документальное оформление операций.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Таблица соответствия КВР и КОСГУ на 2026 год. Установка общедомовых приборов учета. Заключение единого договора при приобретении МЗ. Применение 344, 346, 347, 226, 228 КОСГУ. Закупка продуктов питания. Установка единых функционирующих систем. </w:t>
      </w:r>
    </w:p>
    <w:p w14:paraId="0FFBC922" w14:textId="6556554D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>Ответы на вопросы слушателей.</w:t>
      </w:r>
    </w:p>
    <w:p w14:paraId="33834CE7" w14:textId="70280BE7" w:rsidR="00585378" w:rsidRPr="00FE43BA" w:rsidRDefault="00585378" w:rsidP="006D01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2A05AB" w14:textId="77777777" w:rsidR="00585378" w:rsidRPr="001D6DB5" w:rsidRDefault="00585378" w:rsidP="00585378">
      <w:pPr>
        <w:jc w:val="both"/>
        <w:rPr>
          <w:sz w:val="8"/>
          <w:szCs w:val="8"/>
        </w:rPr>
      </w:pPr>
    </w:p>
    <w:p w14:paraId="1A286377" w14:textId="77777777" w:rsidR="00585378" w:rsidRPr="001D6DB5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1A7C86C1" w14:textId="0C03FCCD" w:rsidR="00585378" w:rsidRPr="001D6DB5" w:rsidRDefault="00585378" w:rsidP="00585378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D6DB5">
        <w:rPr>
          <w:b/>
          <w:i/>
          <w:sz w:val="16"/>
          <w:szCs w:val="16"/>
        </w:rPr>
        <w:t>Чита</w:t>
      </w:r>
      <w:r w:rsidR="00995D76" w:rsidRPr="001D6DB5">
        <w:rPr>
          <w:b/>
          <w:i/>
          <w:sz w:val="16"/>
          <w:szCs w:val="16"/>
        </w:rPr>
        <w:t>е</w:t>
      </w:r>
      <w:r w:rsidRPr="001D6DB5">
        <w:rPr>
          <w:b/>
          <w:i/>
          <w:sz w:val="16"/>
          <w:szCs w:val="16"/>
        </w:rPr>
        <w:t xml:space="preserve">т: </w:t>
      </w:r>
      <w:r w:rsidRPr="001D6DB5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1D6DB5">
        <w:rPr>
          <w:b/>
          <w:i/>
        </w:rPr>
        <w:t xml:space="preserve"> </w:t>
      </w:r>
      <w:r w:rsidRPr="001D6DB5">
        <w:rPr>
          <w:b/>
          <w:sz w:val="14"/>
          <w:szCs w:val="14"/>
        </w:rPr>
        <w:t xml:space="preserve">-  </w:t>
      </w:r>
      <w:r w:rsidRPr="001D6DB5">
        <w:rPr>
          <w:spacing w:val="-4"/>
          <w:sz w:val="16"/>
          <w:szCs w:val="16"/>
        </w:rPr>
        <w:t>к.э.н.</w:t>
      </w:r>
      <w:r w:rsidRPr="001D6DB5">
        <w:rPr>
          <w:sz w:val="16"/>
          <w:szCs w:val="16"/>
        </w:rPr>
        <w:t xml:space="preserve">, аудитор-практик, </w:t>
      </w:r>
      <w:r w:rsidR="001438D2" w:rsidRPr="001D6DB5">
        <w:rPr>
          <w:sz w:val="16"/>
          <w:szCs w:val="16"/>
        </w:rPr>
        <w:t xml:space="preserve">консультант-практик </w:t>
      </w:r>
      <w:r w:rsidR="001438D2">
        <w:rPr>
          <w:sz w:val="16"/>
          <w:szCs w:val="16"/>
        </w:rPr>
        <w:t xml:space="preserve"> с многолетним опытом работы </w:t>
      </w:r>
      <w:r w:rsidR="001438D2" w:rsidRPr="001D6DB5">
        <w:rPr>
          <w:sz w:val="16"/>
          <w:szCs w:val="16"/>
        </w:rPr>
        <w:t xml:space="preserve">с учреждениями </w:t>
      </w:r>
      <w:r w:rsidR="001438D2">
        <w:rPr>
          <w:sz w:val="16"/>
          <w:szCs w:val="16"/>
        </w:rPr>
        <w:t>госсектора по бюджетному учету, отчетности, заработной плате, учету НФА и др,</w:t>
      </w:r>
      <w:r w:rsidR="001438D2" w:rsidRPr="001D6DB5">
        <w:rPr>
          <w:sz w:val="16"/>
          <w:szCs w:val="16"/>
        </w:rPr>
        <w:t xml:space="preserve"> </w:t>
      </w:r>
      <w:r w:rsidRPr="001D6DB5">
        <w:rPr>
          <w:sz w:val="16"/>
          <w:szCs w:val="16"/>
        </w:rPr>
        <w:t>консультант-эксперт по формированию планов ФХД государственных (муниципальных) учреждений, автор более 50 книг серии книг по бюджетному учету, планированию в бюджетной сфере, бухгалтерскому учету</w:t>
      </w:r>
      <w:r w:rsidR="001438D2">
        <w:rPr>
          <w:sz w:val="16"/>
          <w:szCs w:val="16"/>
        </w:rPr>
        <w:t xml:space="preserve">, заработной плате, НФА </w:t>
      </w:r>
      <w:r w:rsidRPr="001D6DB5">
        <w:rPr>
          <w:sz w:val="16"/>
          <w:szCs w:val="16"/>
        </w:rPr>
        <w:t xml:space="preserve"> и др</w:t>
      </w:r>
      <w:r w:rsidR="001438D2">
        <w:rPr>
          <w:sz w:val="16"/>
          <w:szCs w:val="16"/>
        </w:rPr>
        <w:t>.</w:t>
      </w:r>
    </w:p>
    <w:p w14:paraId="364A4845" w14:textId="77777777" w:rsidR="00585378" w:rsidRPr="001D6DB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1D6DB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1D6DB5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61DC5D71" w14:textId="77777777" w:rsidR="00074E9B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>Стоимость участия  за одного слушателя за 2 дня:</w:t>
      </w:r>
    </w:p>
    <w:p w14:paraId="0F98914D" w14:textId="3462C9A0" w:rsidR="00E05E02" w:rsidRDefault="00074E9B" w:rsidP="00074E9B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Клиентам Центра – 8900 руб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85378"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52C5B2AF" w14:textId="51F3B82E" w:rsidR="00307CCD" w:rsidRDefault="00307CCD" w:rsidP="00307CC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07CC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 всем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– 8900 руб - 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12959533" w14:textId="7A6E7584" w:rsidR="00585378" w:rsidRPr="001D6DB5" w:rsidRDefault="00F815BE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10200 </w:t>
      </w:r>
      <w:r w:rsidR="00864BFB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руб  </w:t>
      </w:r>
      <w:r w:rsidR="00864BFB"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</w:p>
    <w:p w14:paraId="04D365B0" w14:textId="60165BE9" w:rsidR="00630269" w:rsidRPr="001D6DB5" w:rsidRDefault="00C90666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6D01D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20.10</w:t>
      </w:r>
      <w:r w:rsidR="00FE43BA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.2025</w:t>
      </w:r>
      <w:r w:rsidR="00630269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 9200 руб</w:t>
      </w:r>
    </w:p>
    <w:p w14:paraId="65212E40" w14:textId="2BD6A0EC" w:rsidR="00585378" w:rsidRPr="001D6DB5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1D6DB5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51A712EB" w:rsidR="00585378" w:rsidRPr="001D6DB5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307CCD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023F29A8" w14:textId="77777777" w:rsidR="00585378" w:rsidRPr="001D6DB5" w:rsidRDefault="00585378" w:rsidP="00585378">
      <w:pPr>
        <w:jc w:val="center"/>
        <w:rPr>
          <w:color w:val="00B050"/>
          <w:sz w:val="18"/>
          <w:szCs w:val="18"/>
        </w:rPr>
      </w:pPr>
      <w:r w:rsidRPr="001D6DB5">
        <w:rPr>
          <w:color w:val="00B050"/>
          <w:sz w:val="18"/>
          <w:szCs w:val="18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1D6DB5">
        <w:rPr>
          <w:caps/>
          <w:color w:val="00B050"/>
          <w:sz w:val="18"/>
          <w:szCs w:val="18"/>
        </w:rPr>
        <w:t>впо</w:t>
      </w:r>
      <w:r w:rsidRPr="001D6DB5">
        <w:rPr>
          <w:color w:val="00B050"/>
          <w:sz w:val="18"/>
          <w:szCs w:val="18"/>
        </w:rPr>
        <w:t xml:space="preserve"> или </w:t>
      </w:r>
      <w:r w:rsidRPr="001D6DB5">
        <w:rPr>
          <w:caps/>
          <w:color w:val="00B050"/>
          <w:sz w:val="18"/>
          <w:szCs w:val="18"/>
        </w:rPr>
        <w:t>спо</w:t>
      </w:r>
      <w:r w:rsidRPr="001D6DB5">
        <w:rPr>
          <w:color w:val="00B050"/>
          <w:sz w:val="18"/>
          <w:szCs w:val="18"/>
        </w:rPr>
        <w:t>), копию свидетельства о браке (в случае изменения фамилии)</w:t>
      </w:r>
    </w:p>
    <w:p w14:paraId="4C2DC355" w14:textId="77777777" w:rsidR="00585378" w:rsidRPr="001D6DB5" w:rsidRDefault="00585378" w:rsidP="00585378">
      <w:pPr>
        <w:jc w:val="center"/>
        <w:rPr>
          <w:b/>
          <w:color w:val="FF0000"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1D6DB5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2AB81A7" w14:textId="21461900" w:rsidR="00585378" w:rsidRPr="00307CCD" w:rsidRDefault="00585378" w:rsidP="00307CCD">
      <w:pPr>
        <w:jc w:val="center"/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1475D8"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УДОСТОВЕРЕНИЕ о повышении квалификации</w:t>
      </w:r>
      <w:r w:rsidR="00307CCD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простандартов</w:t>
      </w:r>
      <w:r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</w:t>
      </w:r>
      <w:r w:rsidRPr="001D6DB5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после проведения</w:t>
      </w:r>
      <w:r w:rsidRPr="001D6DB5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99B21E" w14:textId="77777777" w:rsidR="00585378" w:rsidRPr="001D6DB5" w:rsidRDefault="00585378" w:rsidP="00585378">
      <w:pPr>
        <w:tabs>
          <w:tab w:val="left" w:pos="0"/>
          <w:tab w:val="left" w:pos="142"/>
          <w:tab w:val="center" w:pos="5386"/>
        </w:tabs>
        <w:spacing w:before="10" w:line="216" w:lineRule="auto"/>
        <w:ind w:right="-33"/>
        <w:jc w:val="center"/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</w:pPr>
      <w:r w:rsidRPr="001D6DB5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 xml:space="preserve">По окончании курса выдается удостоверение о повышении квалификации,  </w:t>
      </w:r>
      <w:r w:rsidRPr="001D6DB5">
        <w:rPr>
          <w:b/>
          <w:sz w:val="18"/>
          <w:szCs w:val="18"/>
          <w:highlight w:val="yellow"/>
          <w:u w:val="single"/>
        </w:rPr>
        <w:t>соответствующее требованиям профстандарта о повышении квалификации</w:t>
      </w:r>
      <w:r w:rsidRPr="001D6DB5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>.</w:t>
      </w:r>
    </w:p>
    <w:p w14:paraId="5BA27290" w14:textId="77777777" w:rsidR="00585378" w:rsidRPr="001D6DB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D6DB5">
        <w:rPr>
          <w:rFonts w:eastAsia="SimSun"/>
          <w:b/>
          <w:smallCaps/>
          <w:u w:val="single"/>
          <w:lang w:eastAsia="zh-CN"/>
        </w:rPr>
        <w:t>предварительная регистрация</w:t>
      </w:r>
      <w:r w:rsidRPr="001D6DB5">
        <w:rPr>
          <w:rFonts w:eastAsia="SimSun"/>
          <w:b/>
          <w:u w:val="single"/>
          <w:lang w:eastAsia="zh-CN"/>
        </w:rPr>
        <w:t xml:space="preserve">: на </w:t>
      </w:r>
      <w:r w:rsidRPr="001D6DB5">
        <w:rPr>
          <w:rFonts w:eastAsia="SimSun"/>
          <w:b/>
          <w:sz w:val="28"/>
          <w:szCs w:val="28"/>
          <w:u w:val="single"/>
          <w:lang w:eastAsia="zh-CN"/>
        </w:rPr>
        <w:t xml:space="preserve"> </w:t>
      </w:r>
      <w:r w:rsidRPr="001D6DB5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1D6DB5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16"/>
          <w:szCs w:val="16"/>
          <w:lang w:eastAsia="zh-CN"/>
        </w:rPr>
      </w:pPr>
      <w:r w:rsidRPr="001D6DB5">
        <w:rPr>
          <w:rFonts w:eastAsia="SimSun"/>
          <w:b/>
          <w:color w:val="000000"/>
          <w:sz w:val="16"/>
          <w:szCs w:val="16"/>
          <w:lang w:eastAsia="zh-CN"/>
        </w:rPr>
        <w:t>(указать ФИО, дату обучения, форму оплаты, реквизиты, телефон)</w:t>
      </w:r>
      <w:r w:rsidRPr="001D6DB5">
        <w:rPr>
          <w:rFonts w:eastAsia="SimSun"/>
          <w:b/>
          <w:sz w:val="16"/>
          <w:szCs w:val="16"/>
          <w:lang w:eastAsia="zh-CN"/>
        </w:rPr>
        <w:t xml:space="preserve"> </w:t>
      </w:r>
    </w:p>
    <w:p w14:paraId="02D773BF" w14:textId="77777777" w:rsidR="00585378" w:rsidRPr="001D6DB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32"/>
          <w:szCs w:val="32"/>
          <w:u w:val="single"/>
        </w:rPr>
      </w:pPr>
      <w:r w:rsidRPr="001D6DB5">
        <w:rPr>
          <w:rFonts w:eastAsia="SimSun"/>
          <w:b/>
          <w:color w:val="FF0000"/>
          <w:sz w:val="32"/>
          <w:szCs w:val="32"/>
          <w:lang w:eastAsia="zh-CN"/>
        </w:rPr>
        <w:t>8(383)</w:t>
      </w:r>
      <w:r w:rsidRPr="001D6DB5">
        <w:rPr>
          <w:rFonts w:eastAsia="SimSun"/>
          <w:color w:val="FF0000"/>
          <w:sz w:val="32"/>
          <w:szCs w:val="32"/>
          <w:lang w:eastAsia="zh-CN"/>
        </w:rPr>
        <w:t>–</w:t>
      </w:r>
      <w:r w:rsidRPr="001D6DB5">
        <w:rPr>
          <w:rFonts w:eastAsia="SimSun"/>
          <w:b/>
          <w:color w:val="FF0000"/>
          <w:sz w:val="32"/>
          <w:szCs w:val="32"/>
          <w:lang w:eastAsia="zh-CN"/>
        </w:rPr>
        <w:t>209-26-61, 89139364490, 89139442664  или на сайте</w:t>
      </w:r>
      <w:r w:rsidRPr="001D6DB5">
        <w:rPr>
          <w:rFonts w:eastAsia="SimSun"/>
          <w:b/>
          <w:sz w:val="32"/>
          <w:szCs w:val="32"/>
          <w:lang w:eastAsia="zh-CN"/>
        </w:rPr>
        <w:t xml:space="preserve"> </w:t>
      </w:r>
      <w:r w:rsidRPr="001D6DB5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1D6DB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1D6DB5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74B76F6F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3C3AD8E8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389FFF3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6D0DDC8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47D13BAC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40EB043C" w14:textId="77777777" w:rsidR="006D01D5" w:rsidRPr="00630CAC" w:rsidRDefault="006D01D5" w:rsidP="006D01D5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130E47F8" w14:textId="77777777" w:rsidR="006D01D5" w:rsidRPr="00630CAC" w:rsidRDefault="006D01D5" w:rsidP="006D01D5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**Готовый вариант учетной политики  для учреждений госсектора с приложениями – 2025-2026</w:t>
      </w:r>
      <w:r w:rsidRPr="00630CAC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EBA43A" w14:textId="77777777" w:rsidR="006D01D5" w:rsidRPr="00630CAC" w:rsidRDefault="006D01D5" w:rsidP="006D01D5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5C080236" w14:textId="77777777" w:rsidR="006D01D5" w:rsidRPr="00630CAC" w:rsidRDefault="006D01D5" w:rsidP="006D01D5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для учреждений госсектора </w:t>
      </w:r>
    </w:p>
    <w:p w14:paraId="3A49B3D9" w14:textId="77777777" w:rsidR="006D01D5" w:rsidRPr="00630CAC" w:rsidRDefault="006D01D5" w:rsidP="006D01D5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t>Приказ по учетной политике  со всеми приложениями (без положений по  инвентаризации и ЭДО) - вариант для ленивых – бери и работай!!!</w:t>
      </w:r>
    </w:p>
    <w:p w14:paraId="38856AB1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715AE07D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2"/>
          <w:szCs w:val="22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2"/>
          <w:szCs w:val="22"/>
          <w:u w:val="single"/>
          <w:lang w:eastAsia="zh-CN"/>
        </w:rPr>
        <w:t>Для тех кто приобретал УП на 2024-2025 год – стоимость 3500 руб</w:t>
      </w:r>
    </w:p>
    <w:p w14:paraId="46631398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61F3958B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58BCE1D7" w14:textId="77777777" w:rsidR="006D01D5" w:rsidRPr="00630CAC" w:rsidRDefault="006D01D5" w:rsidP="006D01D5">
      <w:pPr>
        <w:rPr>
          <w:rFonts w:eastAsia="SimSun"/>
          <w:lang w:eastAsia="zh-CN"/>
        </w:rPr>
      </w:pPr>
    </w:p>
    <w:p w14:paraId="6130E7F8" w14:textId="77777777" w:rsidR="006D01D5" w:rsidRPr="00630CAC" w:rsidRDefault="006D01D5" w:rsidP="006D01D5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2C400065" w14:textId="77777777" w:rsidR="006D01D5" w:rsidRPr="00630CAC" w:rsidRDefault="006D01D5" w:rsidP="006D01D5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3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6D01D5" w:rsidRPr="00630CAC" w14:paraId="14D4FA0E" w14:textId="77777777" w:rsidTr="003C29D8">
        <w:tc>
          <w:tcPr>
            <w:tcW w:w="10536" w:type="dxa"/>
            <w:shd w:val="clear" w:color="auto" w:fill="CCFFFF"/>
          </w:tcPr>
          <w:p w14:paraId="2E5BDA5D" w14:textId="77777777" w:rsidR="006D01D5" w:rsidRPr="00630CAC" w:rsidRDefault="006D01D5" w:rsidP="003C29D8">
            <w:pPr>
              <w:ind w:firstLine="360"/>
              <w:jc w:val="both"/>
            </w:pPr>
            <w:r w:rsidRPr="00630CAC">
              <w:t xml:space="preserve">Учетная политика разработана </w:t>
            </w:r>
            <w:r w:rsidRPr="00630CAC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630CAC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49899D83" w14:textId="77777777" w:rsidR="006D01D5" w:rsidRPr="00630CAC" w:rsidRDefault="006D01D5" w:rsidP="006D01D5">
      <w:pPr>
        <w:jc w:val="center"/>
        <w:rPr>
          <w:b/>
          <w:u w:val="single"/>
        </w:rPr>
      </w:pPr>
      <w:r w:rsidRPr="00630CAC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3F6C8DCC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4288917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0C417194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45AEEB1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627DD7A0" w14:textId="77777777" w:rsidR="006D01D5" w:rsidRPr="00630CAC" w:rsidRDefault="006D01D5" w:rsidP="006D01D5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субъекта учета;</w:t>
      </w:r>
    </w:p>
    <w:p w14:paraId="10C6022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174D2A4C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065C6BD2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графика документооборота;</w:t>
      </w:r>
    </w:p>
    <w:p w14:paraId="22A1125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184925D1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493C7BB9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306335E9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выдаче под отчет денежных средств, составлении и представлении отчетов подотчетными лицами;</w:t>
      </w:r>
    </w:p>
    <w:p w14:paraId="6917ECFB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55EB4202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3D5024FD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46A7C4B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бухгалтерии</w:t>
      </w:r>
    </w:p>
    <w:p w14:paraId="2D32934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0848A266" w14:textId="77777777" w:rsidR="006D01D5" w:rsidRPr="00630CAC" w:rsidRDefault="006D01D5" w:rsidP="006D01D5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658ADED8" w14:textId="77777777" w:rsidR="006D01D5" w:rsidRPr="00630CAC" w:rsidRDefault="006D01D5" w:rsidP="006D01D5">
      <w:pPr>
        <w:ind w:firstLine="360"/>
        <w:jc w:val="center"/>
        <w:rPr>
          <w:b/>
          <w:color w:val="808080"/>
        </w:rPr>
      </w:pPr>
      <w:r w:rsidRPr="00630CAC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30CAC">
        <w:rPr>
          <w:b/>
          <w:bCs/>
        </w:rPr>
        <w:t>с 01 января 2026 года</w:t>
      </w:r>
      <w:r w:rsidRPr="00630CAC">
        <w:rPr>
          <w:b/>
        </w:rPr>
        <w:t>, таких как:</w:t>
      </w:r>
    </w:p>
    <w:p w14:paraId="1B9402BA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18394F85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69AC72C3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17BB8DB1" w14:textId="77777777" w:rsidR="006D01D5" w:rsidRPr="00630CAC" w:rsidRDefault="006D01D5" w:rsidP="006D01D5">
      <w:pPr>
        <w:ind w:firstLine="360"/>
        <w:jc w:val="both"/>
        <w:rPr>
          <w:color w:val="808080"/>
          <w:sz w:val="8"/>
          <w:szCs w:val="8"/>
        </w:rPr>
      </w:pPr>
    </w:p>
    <w:p w14:paraId="11377387" w14:textId="77777777" w:rsidR="006D01D5" w:rsidRPr="00630CAC" w:rsidRDefault="006D01D5" w:rsidP="006D01D5">
      <w:pPr>
        <w:ind w:firstLine="360"/>
        <w:jc w:val="center"/>
      </w:pPr>
      <w:r w:rsidRPr="00630CAC">
        <w:rPr>
          <w:b/>
          <w:color w:val="000000"/>
        </w:rPr>
        <w:t xml:space="preserve">Данная учетная политика используется </w:t>
      </w:r>
      <w:r w:rsidRPr="00630CAC">
        <w:rPr>
          <w:b/>
          <w:bCs/>
          <w:color w:val="000000"/>
        </w:rPr>
        <w:t>как шаблон для создания собственных документов учреждения</w:t>
      </w:r>
      <w:r w:rsidRPr="00630CAC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30CAC">
        <w:rPr>
          <w:b/>
          <w:color w:val="FF0000"/>
          <w:u w:val="single"/>
        </w:rPr>
        <w:t>централизованными бухгалтериями</w:t>
      </w:r>
      <w:r w:rsidRPr="00630CAC">
        <w:rPr>
          <w:b/>
          <w:color w:val="000000"/>
        </w:rPr>
        <w:t>.</w:t>
      </w:r>
    </w:p>
    <w:p w14:paraId="1757CCAD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000000"/>
          <w:u w:val="single"/>
        </w:rPr>
        <w:t>Для централизованных бухгалтерий выделены в тексте положения,</w:t>
      </w:r>
      <w:r w:rsidRPr="00630CAC">
        <w:rPr>
          <w:color w:val="808080"/>
        </w:rPr>
        <w:t xml:space="preserve"> </w:t>
      </w:r>
      <w:r w:rsidRPr="00630CAC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1E53B907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0CEE1385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246F7DDB" w14:textId="77777777" w:rsidR="006D01D5" w:rsidRPr="00630CAC" w:rsidRDefault="006D01D5" w:rsidP="006D01D5">
      <w:pPr>
        <w:ind w:firstLine="360"/>
        <w:jc w:val="both"/>
        <w:rPr>
          <w:color w:val="808080"/>
          <w:sz w:val="8"/>
          <w:szCs w:val="8"/>
        </w:rPr>
      </w:pPr>
    </w:p>
    <w:p w14:paraId="643BF84C" w14:textId="77777777" w:rsidR="006D01D5" w:rsidRPr="00630CAC" w:rsidRDefault="006D01D5" w:rsidP="006D01D5">
      <w:pPr>
        <w:jc w:val="both"/>
      </w:pPr>
      <w:r w:rsidRPr="00630CAC">
        <w:lastRenderedPageBreak/>
        <w:tab/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6BB16F39" w14:textId="77777777" w:rsidR="006D01D5" w:rsidRPr="00630CAC" w:rsidRDefault="006D01D5" w:rsidP="006D01D5">
      <w:pPr>
        <w:jc w:val="both"/>
        <w:rPr>
          <w:sz w:val="10"/>
          <w:szCs w:val="10"/>
        </w:rPr>
      </w:pPr>
    </w:p>
    <w:p w14:paraId="1104C1F7" w14:textId="77777777" w:rsidR="006D01D5" w:rsidRPr="00630CAC" w:rsidRDefault="006D01D5" w:rsidP="006D01D5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7E91D5B4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3BC04457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5A0A9173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0B8B204B" w14:textId="736295BD" w:rsidR="00A15983" w:rsidRPr="00FE43BA" w:rsidRDefault="00A15983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lang w:eastAsia="zh-CN"/>
        </w:rPr>
      </w:pPr>
    </w:p>
    <w:sectPr w:rsidR="00A15983" w:rsidRPr="00FE43BA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6601D" w14:textId="77777777" w:rsidR="009460D0" w:rsidRDefault="009460D0" w:rsidP="00037D6E">
      <w:r>
        <w:separator/>
      </w:r>
    </w:p>
  </w:endnote>
  <w:endnote w:type="continuationSeparator" w:id="0">
    <w:p w14:paraId="1B948368" w14:textId="77777777" w:rsidR="009460D0" w:rsidRDefault="009460D0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3396E" w14:textId="77777777" w:rsidR="009460D0" w:rsidRDefault="009460D0" w:rsidP="00037D6E">
      <w:r>
        <w:separator/>
      </w:r>
    </w:p>
  </w:footnote>
  <w:footnote w:type="continuationSeparator" w:id="0">
    <w:p w14:paraId="1A0D3DCB" w14:textId="77777777" w:rsidR="009460D0" w:rsidRDefault="009460D0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61F42F40"/>
    <w:lvl w:ilvl="0" w:tplc="F41C7D7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8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1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4"/>
  </w:num>
  <w:num w:numId="5">
    <w:abstractNumId w:val="19"/>
  </w:num>
  <w:num w:numId="6">
    <w:abstractNumId w:val="13"/>
  </w:num>
  <w:num w:numId="7">
    <w:abstractNumId w:val="4"/>
  </w:num>
  <w:num w:numId="8">
    <w:abstractNumId w:val="37"/>
  </w:num>
  <w:num w:numId="9">
    <w:abstractNumId w:val="44"/>
  </w:num>
  <w:num w:numId="10">
    <w:abstractNumId w:val="43"/>
  </w:num>
  <w:num w:numId="11">
    <w:abstractNumId w:val="15"/>
  </w:num>
  <w:num w:numId="12">
    <w:abstractNumId w:val="35"/>
  </w:num>
  <w:num w:numId="13">
    <w:abstractNumId w:val="31"/>
  </w:num>
  <w:num w:numId="14">
    <w:abstractNumId w:val="25"/>
  </w:num>
  <w:num w:numId="15">
    <w:abstractNumId w:val="17"/>
  </w:num>
  <w:num w:numId="16">
    <w:abstractNumId w:val="21"/>
  </w:num>
  <w:num w:numId="17">
    <w:abstractNumId w:val="41"/>
  </w:num>
  <w:num w:numId="18">
    <w:abstractNumId w:val="40"/>
  </w:num>
  <w:num w:numId="19">
    <w:abstractNumId w:val="0"/>
  </w:num>
  <w:num w:numId="20">
    <w:abstractNumId w:val="5"/>
  </w:num>
  <w:num w:numId="21">
    <w:abstractNumId w:val="45"/>
  </w:num>
  <w:num w:numId="22">
    <w:abstractNumId w:val="23"/>
  </w:num>
  <w:num w:numId="23">
    <w:abstractNumId w:val="27"/>
  </w:num>
  <w:num w:numId="24">
    <w:abstractNumId w:val="7"/>
  </w:num>
  <w:num w:numId="25">
    <w:abstractNumId w:val="29"/>
  </w:num>
  <w:num w:numId="26">
    <w:abstractNumId w:val="1"/>
  </w:num>
  <w:num w:numId="27">
    <w:abstractNumId w:val="14"/>
  </w:num>
  <w:num w:numId="28">
    <w:abstractNumId w:val="28"/>
  </w:num>
  <w:num w:numId="29">
    <w:abstractNumId w:val="9"/>
  </w:num>
  <w:num w:numId="30">
    <w:abstractNumId w:val="20"/>
  </w:num>
  <w:num w:numId="31">
    <w:abstractNumId w:val="24"/>
  </w:num>
  <w:num w:numId="32">
    <w:abstractNumId w:val="38"/>
  </w:num>
  <w:num w:numId="33">
    <w:abstractNumId w:val="42"/>
  </w:num>
  <w:num w:numId="34">
    <w:abstractNumId w:val="36"/>
  </w:num>
  <w:num w:numId="35">
    <w:abstractNumId w:val="22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32"/>
  </w:num>
  <w:num w:numId="40">
    <w:abstractNumId w:val="33"/>
  </w:num>
  <w:num w:numId="41">
    <w:abstractNumId w:val="26"/>
  </w:num>
  <w:num w:numId="42">
    <w:abstractNumId w:val="10"/>
  </w:num>
  <w:num w:numId="43">
    <w:abstractNumId w:val="39"/>
  </w:num>
  <w:num w:numId="44">
    <w:abstractNumId w:val="8"/>
  </w:num>
  <w:num w:numId="45">
    <w:abstractNumId w:val="11"/>
  </w:num>
  <w:num w:numId="46">
    <w:abstractNumId w:val="3"/>
  </w:num>
  <w:num w:numId="47">
    <w:abstractNumId w:val="12"/>
  </w:num>
  <w:num w:numId="48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1" w:cryptProviderType="rsaAES" w:cryptAlgorithmClass="hash" w:cryptAlgorithmType="typeAny" w:cryptAlgorithmSid="14" w:cryptSpinCount="100000" w:hash="rqH+47+oteGxT+fpqB4/VzMnfGH/e3XN3m4uvJytgtMLoyq/3WIm70wU4so1PuqClfl9ECJAzYW8fdW+B6zAAA==" w:salt="f8pg4XW8GcMkRbrBzH21I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1DD5"/>
    <w:rsid w:val="0001477E"/>
    <w:rsid w:val="00016E84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2F1C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4E9B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477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38D2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D6DB5"/>
    <w:rsid w:val="001E2006"/>
    <w:rsid w:val="001E2619"/>
    <w:rsid w:val="001E2922"/>
    <w:rsid w:val="001E2C97"/>
    <w:rsid w:val="001E4080"/>
    <w:rsid w:val="001E62F4"/>
    <w:rsid w:val="001E6361"/>
    <w:rsid w:val="001E7919"/>
    <w:rsid w:val="001F26C2"/>
    <w:rsid w:val="001F27FC"/>
    <w:rsid w:val="001F284B"/>
    <w:rsid w:val="001F2BAF"/>
    <w:rsid w:val="001F6BF8"/>
    <w:rsid w:val="00200E95"/>
    <w:rsid w:val="002067B8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1FAF"/>
    <w:rsid w:val="003033D2"/>
    <w:rsid w:val="003037F2"/>
    <w:rsid w:val="0030585B"/>
    <w:rsid w:val="00307CCD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0A51"/>
    <w:rsid w:val="00401A2E"/>
    <w:rsid w:val="00404BBC"/>
    <w:rsid w:val="004144D9"/>
    <w:rsid w:val="004237EC"/>
    <w:rsid w:val="00426495"/>
    <w:rsid w:val="00427D7C"/>
    <w:rsid w:val="00430762"/>
    <w:rsid w:val="004358E4"/>
    <w:rsid w:val="00435D15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6F5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01D5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5E2D"/>
    <w:rsid w:val="006F6635"/>
    <w:rsid w:val="00704ED0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314A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44AD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60D0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457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092D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2A52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A7D28"/>
    <w:rsid w:val="00DB1C93"/>
    <w:rsid w:val="00DB227C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578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15BE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3BA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6D01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6FDA-CEBC-4580-880A-AB05E2F5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39</cp:revision>
  <cp:lastPrinted>2022-06-08T05:57:00Z</cp:lastPrinted>
  <dcterms:created xsi:type="dcterms:W3CDTF">2023-10-12T05:41:00Z</dcterms:created>
  <dcterms:modified xsi:type="dcterms:W3CDTF">2025-09-22T01:55:00Z</dcterms:modified>
</cp:coreProperties>
</file>