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E935" w14:textId="4299F975" w:rsidR="00630CAC" w:rsidRPr="00267F3E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267F3E">
        <w:rPr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>РЕВОЛЮЦИОННЫЕ ИЗМЕНЕНИЯ ДЛЯ ГОССЕКТОРА</w:t>
      </w:r>
      <w:r w:rsidR="00F44CF7" w:rsidRPr="00267F3E">
        <w:rPr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>!!!!!!!!!!</w:t>
      </w:r>
    </w:p>
    <w:p w14:paraId="073741C7" w14:textId="6E26E855" w:rsidR="00585378" w:rsidRPr="00267F3E" w:rsidRDefault="00585378" w:rsidP="00297F87">
      <w:pPr>
        <w:pStyle w:val="4"/>
        <w:tabs>
          <w:tab w:val="left" w:pos="510"/>
          <w:tab w:val="right" w:pos="10773"/>
        </w:tabs>
        <w:spacing w:before="80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267F3E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C" w:rsidRPr="00267F3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267F3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  <w:highlight w:val="yellow"/>
        </w:rPr>
        <w:t>Главным бухгалтерам, бухгалтерам</w:t>
      </w:r>
      <w:r w:rsidR="00297F87" w:rsidRPr="00267F3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  <w:highlight w:val="yellow"/>
        </w:rPr>
        <w:t xml:space="preserve">, </w:t>
      </w:r>
      <w:r w:rsidRPr="00267F3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  <w:highlight w:val="yellow"/>
        </w:rPr>
        <w:t xml:space="preserve"> </w:t>
      </w:r>
      <w:r w:rsidR="00297F87" w:rsidRPr="00267F3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  <w:highlight w:val="yellow"/>
          <w:u w:val="single"/>
        </w:rPr>
        <w:t>руководителям, председателям комиссий</w:t>
      </w:r>
    </w:p>
    <w:p w14:paraId="6DE32FA7" w14:textId="77777777" w:rsidR="00585378" w:rsidRPr="00267F3E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267F3E">
        <w:rPr>
          <w:b/>
          <w:i/>
          <w:color w:val="FF0000"/>
          <w:sz w:val="28"/>
          <w:szCs w:val="28"/>
        </w:rPr>
        <w:t xml:space="preserve">  </w:t>
      </w:r>
      <w:r w:rsidRPr="00327C2C">
        <w:rPr>
          <w:b/>
          <w:i/>
          <w:color w:val="FF0000"/>
          <w:sz w:val="28"/>
          <w:szCs w:val="28"/>
        </w:rPr>
        <w:t>казенных, бюджетных и автономных учреждений, органов власти</w:t>
      </w:r>
    </w:p>
    <w:p w14:paraId="3FA81AFF" w14:textId="77777777" w:rsidR="00585378" w:rsidRPr="00267F3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267F3E" w:rsidRDefault="00585378" w:rsidP="00297F87">
      <w:pPr>
        <w:pStyle w:val="affff"/>
        <w:tabs>
          <w:tab w:val="left" w:pos="0"/>
          <w:tab w:val="left" w:pos="142"/>
        </w:tabs>
        <w:spacing w:before="120"/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267F3E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3E">
        <w:rPr>
          <w:rStyle w:val="a5"/>
          <w:color w:val="000000"/>
          <w:sz w:val="18"/>
          <w:szCs w:val="18"/>
        </w:rPr>
        <w:t xml:space="preserve"> </w:t>
      </w:r>
      <w:r w:rsidRPr="00267F3E">
        <w:rPr>
          <w:rStyle w:val="a5"/>
          <w:color w:val="000000"/>
          <w:sz w:val="18"/>
          <w:szCs w:val="18"/>
          <w:u w:val="double"/>
        </w:rPr>
        <w:t xml:space="preserve">  </w:t>
      </w:r>
      <w:r w:rsidRPr="00267F3E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267F3E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267F3E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267F3E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267F3E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267F3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267F3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267F3E">
        <w:rPr>
          <w:b w:val="0"/>
          <w:bCs/>
          <w:sz w:val="14"/>
          <w:szCs w:val="14"/>
        </w:rPr>
        <w:t>проводит</w:t>
      </w:r>
      <w:r w:rsidRPr="00267F3E">
        <w:rPr>
          <w:b w:val="0"/>
          <w:bCs/>
          <w:sz w:val="14"/>
          <w:szCs w:val="14"/>
          <w:highlight w:val="yellow"/>
        </w:rPr>
        <w:t xml:space="preserve"> </w:t>
      </w:r>
    </w:p>
    <w:p w14:paraId="3F119A09" w14:textId="77777777" w:rsidR="00630CAC" w:rsidRPr="00267F3E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267F3E">
        <w:rPr>
          <w:color w:val="FF0000"/>
          <w:sz w:val="28"/>
          <w:szCs w:val="28"/>
          <w:u w:val="single"/>
        </w:rPr>
        <w:t>ВЕБИНАР (ОНЛАЙН ТРАНСЛЯЦИЯ) - ДЛЯ ВСЕХ</w:t>
      </w:r>
    </w:p>
    <w:p w14:paraId="757582C0" w14:textId="200B46C0" w:rsidR="00630CAC" w:rsidRPr="00267F3E" w:rsidRDefault="00630CAC" w:rsidP="00630CAC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267F3E">
        <w:rPr>
          <w:b/>
          <w:bCs/>
        </w:rPr>
        <w:t xml:space="preserve">  с 1</w:t>
      </w:r>
      <w:r w:rsidR="00297F87" w:rsidRPr="00267F3E">
        <w:rPr>
          <w:b/>
          <w:bCs/>
        </w:rPr>
        <w:t>1</w:t>
      </w:r>
      <w:r w:rsidRPr="00267F3E">
        <w:rPr>
          <w:b/>
          <w:bCs/>
        </w:rPr>
        <w:t>-00 – 1</w:t>
      </w:r>
      <w:r w:rsidR="00297F87" w:rsidRPr="00267F3E">
        <w:rPr>
          <w:b/>
          <w:bCs/>
        </w:rPr>
        <w:t>7</w:t>
      </w:r>
      <w:r w:rsidRPr="00267F3E">
        <w:rPr>
          <w:b/>
          <w:bCs/>
        </w:rPr>
        <w:t xml:space="preserve">-00 (Нск) = с </w:t>
      </w:r>
      <w:r w:rsidR="00297F87" w:rsidRPr="00267F3E">
        <w:rPr>
          <w:b/>
          <w:bCs/>
        </w:rPr>
        <w:t>7</w:t>
      </w:r>
      <w:r w:rsidRPr="00267F3E">
        <w:rPr>
          <w:b/>
          <w:bCs/>
        </w:rPr>
        <w:t xml:space="preserve">-00 – </w:t>
      </w:r>
      <w:r w:rsidR="00297F87" w:rsidRPr="00267F3E">
        <w:rPr>
          <w:b/>
          <w:bCs/>
        </w:rPr>
        <w:t>13</w:t>
      </w:r>
      <w:r w:rsidRPr="00267F3E">
        <w:rPr>
          <w:b/>
          <w:bCs/>
        </w:rPr>
        <w:t>-00 (Мск)</w:t>
      </w:r>
    </w:p>
    <w:p w14:paraId="754ABFDA" w14:textId="67A1B43C" w:rsidR="00585378" w:rsidRPr="00267F3E" w:rsidRDefault="00297F87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267F3E">
        <w:rPr>
          <w:smallCaps/>
          <w:color w:val="FF0000"/>
          <w:sz w:val="44"/>
          <w:szCs w:val="44"/>
          <w:u w:val="single"/>
        </w:rPr>
        <w:t xml:space="preserve">16 </w:t>
      </w:r>
      <w:r w:rsidR="00630CAC" w:rsidRPr="00267F3E">
        <w:rPr>
          <w:smallCaps/>
          <w:color w:val="FF0000"/>
          <w:sz w:val="44"/>
          <w:szCs w:val="44"/>
          <w:u w:val="single"/>
        </w:rPr>
        <w:t xml:space="preserve">сентября </w:t>
      </w:r>
      <w:r w:rsidR="00280DCD" w:rsidRPr="00267F3E">
        <w:rPr>
          <w:smallCaps/>
          <w:color w:val="FF0000"/>
          <w:sz w:val="44"/>
          <w:szCs w:val="44"/>
          <w:u w:val="single"/>
        </w:rPr>
        <w:t>2025г</w:t>
      </w:r>
    </w:p>
    <w:p w14:paraId="07FF254B" w14:textId="77777777" w:rsidR="00585378" w:rsidRPr="00267F3E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b w:val="0"/>
          <w:bCs/>
          <w:sz w:val="16"/>
          <w:szCs w:val="16"/>
        </w:rPr>
        <w:t xml:space="preserve"> </w:t>
      </w:r>
      <w:r w:rsidRPr="00267F3E">
        <w:rPr>
          <w:sz w:val="12"/>
          <w:szCs w:val="12"/>
        </w:rPr>
        <w:t xml:space="preserve"> </w:t>
      </w:r>
      <w:r w:rsidRPr="00267F3E">
        <w:rPr>
          <w:sz w:val="14"/>
          <w:szCs w:val="14"/>
        </w:rPr>
        <w:t xml:space="preserve">в программе:  </w:t>
      </w:r>
    </w:p>
    <w:p w14:paraId="3A661D1B" w14:textId="77777777" w:rsidR="006E2121" w:rsidRDefault="00297F87" w:rsidP="00297F87">
      <w:pPr>
        <w:spacing w:before="80"/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267F3E">
        <w:rPr>
          <w:b/>
          <w:bCs/>
          <w:color w:val="FF0000"/>
          <w:sz w:val="32"/>
          <w:szCs w:val="32"/>
          <w:highlight w:val="yellow"/>
          <w:u w:val="single"/>
        </w:rPr>
        <w:t>«ВЗАИМОДЕЙСТВИЕ БУХГАЛТЕРИИ И СТРУКТУРНЫХ ПОДРАЗДЕЛЕНИЙ В СИСТЕМЕ ЭДО.</w:t>
      </w:r>
    </w:p>
    <w:p w14:paraId="465C4DFE" w14:textId="7DC99BAC" w:rsidR="00267F3E" w:rsidRPr="00267F3E" w:rsidRDefault="00297F87" w:rsidP="00297F87">
      <w:pPr>
        <w:spacing w:before="80"/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267F3E">
        <w:rPr>
          <w:b/>
          <w:bCs/>
          <w:color w:val="FF0000"/>
          <w:sz w:val="32"/>
          <w:szCs w:val="32"/>
          <w:highlight w:val="yellow"/>
          <w:u w:val="single"/>
        </w:rPr>
        <w:t xml:space="preserve"> ОТВЕТСТВЕННОСТЬ РУКОВОДИТЕЛЕЙ ЗА ОРГАНИЗАЦИЮ И ХРАНЕНИЕ ДОКУМЕНТОВ. </w:t>
      </w:r>
    </w:p>
    <w:p w14:paraId="54CE5505" w14:textId="38EF1097" w:rsidR="00630CAC" w:rsidRPr="00267F3E" w:rsidRDefault="00297F87" w:rsidP="00297F87">
      <w:pPr>
        <w:spacing w:before="80"/>
        <w:jc w:val="center"/>
        <w:rPr>
          <w:b/>
          <w:bCs/>
          <w:color w:val="FF0000"/>
          <w:sz w:val="32"/>
          <w:szCs w:val="32"/>
          <w:u w:val="single"/>
        </w:rPr>
      </w:pPr>
      <w:r w:rsidRPr="00267F3E">
        <w:rPr>
          <w:b/>
          <w:bCs/>
          <w:color w:val="FF0000"/>
          <w:sz w:val="32"/>
          <w:szCs w:val="32"/>
          <w:highlight w:val="yellow"/>
          <w:u w:val="single"/>
        </w:rPr>
        <w:t>ОСОБЕННОСТИ ПЕРЕХОДА НА НОВЫЕ ФСБУ С 01.01.2026 ГОДА»</w:t>
      </w:r>
    </w:p>
    <w:p w14:paraId="725721EA" w14:textId="77777777" w:rsidR="00585378" w:rsidRPr="00267F3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267F3E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267F3E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267F3E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267F3E">
        <w:rPr>
          <w:rStyle w:val="a6"/>
          <w:sz w:val="18"/>
          <w:szCs w:val="18"/>
        </w:rPr>
        <w:t>, органов власти</w:t>
      </w:r>
      <w:r w:rsidRPr="00267F3E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267F3E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267F3E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267F3E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5EAB9D30" w14:textId="78DAEAE7" w:rsidR="00630CAC" w:rsidRPr="00267F3E" w:rsidRDefault="00585378" w:rsidP="00267F3E">
      <w:pPr>
        <w:ind w:left="284"/>
        <w:jc w:val="center"/>
        <w:rPr>
          <w:b/>
          <w:color w:val="7030A0"/>
          <w:sz w:val="22"/>
          <w:szCs w:val="22"/>
        </w:rPr>
      </w:pPr>
      <w:r w:rsidRPr="00267F3E">
        <w:rPr>
          <w:b/>
          <w:color w:val="7030A0"/>
        </w:rPr>
        <w:t xml:space="preserve">на площадке </w:t>
      </w:r>
      <w:r w:rsidR="00864BFB" w:rsidRPr="00267F3E">
        <w:rPr>
          <w:b/>
          <w:color w:val="7030A0"/>
          <w:sz w:val="22"/>
          <w:szCs w:val="22"/>
        </w:rPr>
        <w:t xml:space="preserve">МТС </w:t>
      </w:r>
      <w:r w:rsidR="00267F3E">
        <w:rPr>
          <w:b/>
          <w:color w:val="7030A0"/>
          <w:sz w:val="22"/>
          <w:szCs w:val="22"/>
          <w:lang w:val="en-US"/>
        </w:rPr>
        <w:t>Lin</w:t>
      </w:r>
    </w:p>
    <w:p w14:paraId="5673193D" w14:textId="77777777" w:rsidR="00267F3E" w:rsidRPr="00267F3E" w:rsidRDefault="00267F3E" w:rsidP="00267F3E">
      <w:pPr>
        <w:pStyle w:val="21"/>
        <w:spacing w:after="0" w:line="240" w:lineRule="auto"/>
        <w:jc w:val="both"/>
        <w:rPr>
          <w:color w:val="002060"/>
          <w:u w:val="single" w:color="E5DFEC"/>
        </w:rPr>
      </w:pPr>
    </w:p>
    <w:p w14:paraId="189C2ECD" w14:textId="5775864B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 xml:space="preserve">Ответственность руководителей за организацию учета и хранение документов (закрепление обязанностей в Законе о бухгалтерском учете и ФСБУ «Концептуальные основы»). </w:t>
      </w:r>
      <w:r w:rsidRPr="006E2121">
        <w:rPr>
          <w:rFonts w:ascii="Times New Roman" w:hAnsi="Times New Roman"/>
          <w:sz w:val="26"/>
          <w:szCs w:val="26"/>
        </w:rPr>
        <w:t>Взаимодействие субъектов централизованного учета и централизованной бухгалтерии.</w:t>
      </w:r>
      <w:r w:rsidRPr="006E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E2121">
        <w:rPr>
          <w:rFonts w:ascii="Times New Roman" w:hAnsi="Times New Roman"/>
          <w:sz w:val="26"/>
          <w:szCs w:val="26"/>
        </w:rPr>
        <w:t>Разногласия между руководителем и главным бухгалтером.</w:t>
      </w:r>
      <w:r w:rsidRPr="006E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E2121">
        <w:rPr>
          <w:rFonts w:ascii="Times New Roman" w:hAnsi="Times New Roman"/>
          <w:sz w:val="26"/>
          <w:szCs w:val="26"/>
        </w:rPr>
        <w:t>Штрафы за грубое нарушение в учете и отчетности.</w:t>
      </w:r>
      <w:r w:rsidRPr="006E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E2121">
        <w:rPr>
          <w:rFonts w:ascii="Times New Roman" w:hAnsi="Times New Roman"/>
          <w:sz w:val="26"/>
          <w:szCs w:val="26"/>
        </w:rPr>
        <w:t>Освобождение должностного лица от административной ответственности. Судебная практика по нарушениям в учете и отчетности. Хранение электронных и бумажных документов. Скан-копии первичных учетных документов. Роль учетной политики (единой учетной политики) в организации учета. Раскрытие информации в сети Интернет.</w:t>
      </w:r>
    </w:p>
    <w:p w14:paraId="3ABC28B1" w14:textId="26AEE8D7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>Применение ЭЦП и ЭП в учреждении</w:t>
      </w:r>
      <w:r w:rsidRPr="00267F3E">
        <w:rPr>
          <w:rFonts w:ascii="Times New Roman" w:hAnsi="Times New Roman"/>
          <w:b/>
          <w:bCs/>
        </w:rPr>
        <w:t xml:space="preserve">. </w:t>
      </w:r>
      <w:r w:rsidRPr="006E2121">
        <w:rPr>
          <w:rFonts w:ascii="Times New Roman" w:hAnsi="Times New Roman"/>
          <w:sz w:val="26"/>
          <w:szCs w:val="26"/>
        </w:rPr>
        <w:t xml:space="preserve">Взаимодействие работодателя и работником в системе ЭДО (ст. 22.3 ТК РФ). Прекращение трудового договора по п.7 ч.1 ст. 77 ТК РФ. Положение об ЭЦП. Уведомление работников о работе в системе ЭДО. Закрепление в должностных обязанностях работников ведение первичных учетных документов в системе ЭДО и на бумажных носителях; установление доплаты за увеличение объема работы. </w:t>
      </w:r>
    </w:p>
    <w:p w14:paraId="5F71ED4F" w14:textId="08E5F0B0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>Роль графика документооборота в организации учета</w:t>
      </w:r>
      <w:r w:rsidRPr="00267F3E">
        <w:rPr>
          <w:rFonts w:ascii="Times New Roman" w:hAnsi="Times New Roman"/>
          <w:b/>
          <w:bCs/>
        </w:rPr>
        <w:t xml:space="preserve">. </w:t>
      </w:r>
      <w:r w:rsidRPr="006E2121">
        <w:rPr>
          <w:rFonts w:ascii="Times New Roman" w:hAnsi="Times New Roman"/>
          <w:sz w:val="26"/>
          <w:szCs w:val="26"/>
        </w:rPr>
        <w:t xml:space="preserve">Организация взаимодействия структурных подразделений и бухгалтерии в движении первичных учетных документах. Закрепление взаимодействия в учетной политике учреждения и положении о внутреннем контроле. Требования, установленные в Приложении № 2 к СГС «Учетная политика, оценочные значения и ошибки» к формированию графика документооборота. Нарушение сроков передачи документов в бухгалтерию и искажение данных учета и отчетности в свете нового Единого плана счетов (приказ МФ РФ от 30.08.2024 № 121н). Особенности исправления ошибок с 01 января 2026 года. Подготовка графика документооборота к работе с новыми ФСБУ с 01.01.2026. Организация маршрута прохождения документов. Преимущество электронных первичных учетных документов над бумажными носителями. </w:t>
      </w:r>
    </w:p>
    <w:p w14:paraId="30A9D5D4" w14:textId="5FFA8766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>Обязанность создания комиссий в учреждении: комиссия по поступлению и выбытию активов, комиссия по списанию активов, инвентаризационная комиссия</w:t>
      </w:r>
      <w:r w:rsidRPr="00267F3E">
        <w:rPr>
          <w:rFonts w:ascii="Times New Roman" w:hAnsi="Times New Roman"/>
          <w:b/>
          <w:bCs/>
        </w:rPr>
        <w:t xml:space="preserve">. </w:t>
      </w:r>
      <w:r w:rsidRPr="006E2121">
        <w:rPr>
          <w:rFonts w:ascii="Times New Roman" w:hAnsi="Times New Roman"/>
          <w:sz w:val="26"/>
          <w:szCs w:val="26"/>
        </w:rPr>
        <w:lastRenderedPageBreak/>
        <w:t xml:space="preserve">Кто включается в состав комиссии. Положения по деятельности комиссий. Включение бухгалтера в состав комиссии. Голосование. Нормирование расходования материальных запасов. Формирование актов по списанию НФА. Инвентаризация имущества. </w:t>
      </w:r>
    </w:p>
    <w:p w14:paraId="7E7CEF97" w14:textId="7F1B6DE1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21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МОЛы и ОЛ – нормативное регулирование деятельности работников, закрепление ответственности с 01.09.2025</w:t>
      </w:r>
      <w:r w:rsidRPr="00267F3E">
        <w:rPr>
          <w:rFonts w:ascii="Times New Roman" w:hAnsi="Times New Roman"/>
          <w:b/>
          <w:bCs/>
          <w:sz w:val="28"/>
          <w:szCs w:val="28"/>
        </w:rPr>
        <w:t>.</w:t>
      </w:r>
      <w:r w:rsidRPr="00267F3E">
        <w:rPr>
          <w:rFonts w:ascii="Times New Roman" w:hAnsi="Times New Roman"/>
        </w:rPr>
        <w:t xml:space="preserve"> </w:t>
      </w:r>
      <w:r w:rsidRPr="006E2121"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  <w:t>Приказ Минтруда России от 16.04.2025 N 251н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 (применяется с 01.09.2025 года)</w:t>
      </w:r>
      <w:r w:rsidRPr="006E2121">
        <w:rPr>
          <w:rFonts w:ascii="Times New Roman" w:hAnsi="Times New Roman"/>
          <w:sz w:val="26"/>
          <w:szCs w:val="26"/>
          <w:highlight w:val="yellow"/>
        </w:rPr>
        <w:t>.</w:t>
      </w:r>
      <w:r w:rsidRPr="006E2121">
        <w:rPr>
          <w:rFonts w:ascii="Times New Roman" w:hAnsi="Times New Roman"/>
          <w:sz w:val="26"/>
          <w:szCs w:val="26"/>
        </w:rPr>
        <w:t xml:space="preserve"> 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 Включение МОЛов (ОЛов) в систему ЭДО: использование ЭЦП и ЭП. </w:t>
      </w:r>
    </w:p>
    <w:p w14:paraId="1A00824C" w14:textId="07956B4D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>Работа с отдельными формами электронных первичных документов:</w:t>
      </w:r>
      <w:r w:rsidRPr="00267F3E">
        <w:rPr>
          <w:rFonts w:ascii="Times New Roman" w:hAnsi="Times New Roman"/>
        </w:rPr>
        <w:t xml:space="preserve"> </w:t>
      </w:r>
      <w:r w:rsidRPr="006E2121">
        <w:rPr>
          <w:rFonts w:ascii="Times New Roman" w:hAnsi="Times New Roman"/>
          <w:sz w:val="26"/>
          <w:szCs w:val="26"/>
        </w:rPr>
        <w:t xml:space="preserve">решения, акты о списании нефинансовых активов, требование – накладная, акт приемки товаров, работ, услуг и другие. </w:t>
      </w:r>
    </w:p>
    <w:p w14:paraId="20935CA0" w14:textId="7E0159B7" w:rsidR="00267F3E" w:rsidRPr="006E2121" w:rsidRDefault="00267F3E" w:rsidP="006E2121">
      <w:pPr>
        <w:pStyle w:val="af"/>
        <w:numPr>
          <w:ilvl w:val="0"/>
          <w:numId w:val="4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67F3E">
        <w:rPr>
          <w:rFonts w:ascii="Times New Roman" w:hAnsi="Times New Roman"/>
          <w:b/>
          <w:bCs/>
          <w:color w:val="FF0000"/>
          <w:sz w:val="28"/>
          <w:szCs w:val="28"/>
        </w:rPr>
        <w:t>Методические рекомендации МФ РФ по переходу на новый Единый план счетов с 01.01.2026 (письмо МФ РФ от 30.06.2025 № 02-07-08/63940).</w:t>
      </w:r>
      <w:r w:rsidRPr="00267F3E">
        <w:rPr>
          <w:rFonts w:ascii="Times New Roman" w:hAnsi="Times New Roman"/>
          <w:b/>
          <w:bCs/>
          <w:color w:val="FF0000"/>
        </w:rPr>
        <w:t xml:space="preserve"> </w:t>
      </w:r>
      <w:r w:rsidRPr="006E2121">
        <w:rPr>
          <w:rFonts w:ascii="Times New Roman" w:hAnsi="Times New Roman"/>
          <w:sz w:val="26"/>
          <w:szCs w:val="26"/>
        </w:rPr>
        <w:t xml:space="preserve">Минимально необходимые требования к бухгалтерскому учету по счетам Единого плана счетов. Минимально необходимые требования к систематизации и обобщению информации об объектах бухгалтерского учета. Требования к аналитическому учету. </w:t>
      </w:r>
    </w:p>
    <w:p w14:paraId="010DCA75" w14:textId="66DA47CD" w:rsidR="00630CAC" w:rsidRPr="00267F3E" w:rsidRDefault="00630CAC" w:rsidP="006E2121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67F3E">
        <w:rPr>
          <w:rFonts w:ascii="Times New Roman" w:hAnsi="Times New Roman"/>
          <w:b/>
          <w:sz w:val="28"/>
          <w:szCs w:val="28"/>
        </w:rPr>
        <w:t>Ответы на вопросы</w:t>
      </w:r>
    </w:p>
    <w:p w14:paraId="091C9691" w14:textId="5C5FC2F4" w:rsidR="00630CAC" w:rsidRPr="00267F3E" w:rsidRDefault="00F44CF7" w:rsidP="00267F3E">
      <w:pPr>
        <w:pStyle w:val="af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67F3E">
        <w:rPr>
          <w:rFonts w:ascii="Times New Roman" w:hAnsi="Times New Roman"/>
          <w:b/>
          <w:color w:val="FF0000"/>
          <w:sz w:val="28"/>
          <w:szCs w:val="28"/>
          <w:u w:val="single"/>
        </w:rPr>
        <w:t>В ПОДАРОК</w:t>
      </w:r>
    </w:p>
    <w:p w14:paraId="4A298A00" w14:textId="72B4F311" w:rsidR="00267F3E" w:rsidRPr="00267F3E" w:rsidRDefault="00267F3E" w:rsidP="00267F3E">
      <w:pPr>
        <w:pStyle w:val="21"/>
        <w:spacing w:after="0" w:line="240" w:lineRule="auto"/>
        <w:jc w:val="center"/>
        <w:rPr>
          <w:b/>
          <w:bCs/>
          <w:color w:val="00B0F0"/>
          <w:sz w:val="28"/>
          <w:szCs w:val="28"/>
          <w:u w:val="single" w:color="E5DFEC"/>
        </w:rPr>
      </w:pPr>
      <w:r w:rsidRPr="00267F3E">
        <w:rPr>
          <w:b/>
          <w:bCs/>
          <w:color w:val="00B0F0"/>
          <w:sz w:val="28"/>
          <w:szCs w:val="28"/>
          <w:u w:val="single" w:color="E5DFEC"/>
        </w:rPr>
        <w:t>В состав методического материала включен график документооборота с изменениями на 01.01.2026 года (по требованиям МФ РФ, установленными Методическими рекомендациями по переходу на ЕПС)</w:t>
      </w:r>
    </w:p>
    <w:p w14:paraId="22DDBDBA" w14:textId="77777777" w:rsidR="00267F3E" w:rsidRPr="00267F3E" w:rsidRDefault="00267F3E" w:rsidP="00267F3E">
      <w:pPr>
        <w:pStyle w:val="21"/>
        <w:spacing w:after="0" w:line="240" w:lineRule="auto"/>
        <w:jc w:val="center"/>
        <w:rPr>
          <w:b/>
          <w:bCs/>
          <w:color w:val="00B0F0"/>
          <w:sz w:val="28"/>
          <w:szCs w:val="28"/>
          <w:u w:val="single" w:color="E5DFEC"/>
        </w:rPr>
      </w:pPr>
    </w:p>
    <w:p w14:paraId="1A7C86C1" w14:textId="712CD8B6" w:rsidR="00585378" w:rsidRPr="00267F3E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267F3E">
        <w:rPr>
          <w:b/>
          <w:i/>
          <w:sz w:val="16"/>
          <w:szCs w:val="16"/>
        </w:rPr>
        <w:t>Чита</w:t>
      </w:r>
      <w:r w:rsidR="00995D76" w:rsidRPr="00267F3E">
        <w:rPr>
          <w:b/>
          <w:i/>
          <w:sz w:val="16"/>
          <w:szCs w:val="16"/>
        </w:rPr>
        <w:t>е</w:t>
      </w:r>
      <w:r w:rsidRPr="00267F3E">
        <w:rPr>
          <w:b/>
          <w:i/>
          <w:sz w:val="16"/>
          <w:szCs w:val="16"/>
        </w:rPr>
        <w:t xml:space="preserve">т: </w:t>
      </w:r>
      <w:r w:rsidRPr="00267F3E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267F3E">
        <w:rPr>
          <w:b/>
          <w:i/>
        </w:rPr>
        <w:t xml:space="preserve"> </w:t>
      </w:r>
      <w:r w:rsidRPr="00267F3E">
        <w:rPr>
          <w:b/>
          <w:sz w:val="14"/>
          <w:szCs w:val="14"/>
        </w:rPr>
        <w:t xml:space="preserve">-  </w:t>
      </w:r>
      <w:r w:rsidRPr="00267F3E">
        <w:rPr>
          <w:spacing w:val="-4"/>
          <w:sz w:val="16"/>
          <w:szCs w:val="16"/>
        </w:rPr>
        <w:t>к.э.н.</w:t>
      </w:r>
      <w:r w:rsidRPr="00267F3E">
        <w:rPr>
          <w:sz w:val="16"/>
          <w:szCs w:val="16"/>
        </w:rPr>
        <w:t>, аудитор-практик, консультант-эксперт</w:t>
      </w:r>
      <w:r w:rsidR="00CE7C04" w:rsidRPr="00267F3E">
        <w:rPr>
          <w:sz w:val="16"/>
          <w:szCs w:val="16"/>
        </w:rPr>
        <w:t xml:space="preserve"> по учету госсектора, заработной плате госсектора, </w:t>
      </w:r>
      <w:r w:rsidRPr="00267F3E">
        <w:rPr>
          <w:sz w:val="16"/>
          <w:szCs w:val="16"/>
        </w:rPr>
        <w:t xml:space="preserve"> </w:t>
      </w:r>
      <w:r w:rsidR="00F44CF7" w:rsidRPr="00267F3E">
        <w:rPr>
          <w:sz w:val="16"/>
          <w:szCs w:val="16"/>
        </w:rPr>
        <w:t xml:space="preserve">учету госсектора, </w:t>
      </w:r>
      <w:r w:rsidRPr="00267F3E">
        <w:rPr>
          <w:sz w:val="16"/>
          <w:szCs w:val="16"/>
        </w:rPr>
        <w:t xml:space="preserve">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267F3E">
        <w:rPr>
          <w:sz w:val="16"/>
          <w:szCs w:val="16"/>
        </w:rPr>
        <w:t>госсектора</w:t>
      </w:r>
      <w:r w:rsidRPr="00267F3E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267F3E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267F3E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267F3E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644F242B" w:rsidR="00D31D48" w:rsidRPr="00267F3E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267F3E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F44CF7" w:rsidRPr="00267F3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4900 руб</w:t>
      </w:r>
      <w:r w:rsidR="00297F87" w:rsidRPr="00267F3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 на второго 10% скидка</w:t>
      </w:r>
      <w:r w:rsidR="00D31D48" w:rsidRPr="00267F3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267F3E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267F3E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267F3E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61EEB0A8" w:rsidR="00585378" w:rsidRPr="00267F3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267F3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267F3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267F3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267F3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F44CF7" w:rsidRPr="00267F3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4C2DC355" w14:textId="3CEECF38" w:rsidR="00585378" w:rsidRPr="00267F3E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267F3E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34B214D4" w:rsidR="00995D76" w:rsidRPr="00267F3E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267F3E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267F3E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267F3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267F3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267F3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F44CF7" w:rsidRPr="00267F3E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66DECC01" w14:textId="61C45406" w:rsidR="0049536E" w:rsidRPr="00267F3E" w:rsidRDefault="00585378" w:rsidP="0049536E">
      <w:pPr>
        <w:jc w:val="center"/>
        <w:rPr>
          <w:b/>
        </w:rPr>
      </w:pPr>
      <w:r w:rsidRPr="00267F3E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F44CF7" w:rsidRPr="00267F3E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(для вебинара)</w:t>
      </w:r>
      <w:r w:rsidR="0049536E" w:rsidRPr="00267F3E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49536E" w:rsidRPr="00267F3E">
        <w:rPr>
          <w:b/>
          <w:color w:val="C00000"/>
        </w:rPr>
        <w:t xml:space="preserve"> </w:t>
      </w:r>
      <w:r w:rsidR="0049536E" w:rsidRPr="00267F3E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267F3E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267F3E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267F3E">
        <w:rPr>
          <w:b/>
          <w:bCs/>
          <w:sz w:val="28"/>
          <w:szCs w:val="28"/>
        </w:rPr>
        <w:t xml:space="preserve">ВАЖНО! </w:t>
      </w:r>
      <w:r w:rsidRPr="00267F3E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267F3E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267F3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67F3E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267F3E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267F3E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3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267F3E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67F3E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267F3E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267F3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267F3E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267F3E">
        <w:rPr>
          <w:rFonts w:eastAsia="SimSun"/>
          <w:color w:val="FF0000"/>
          <w:sz w:val="28"/>
          <w:szCs w:val="28"/>
          <w:lang w:eastAsia="zh-CN"/>
        </w:rPr>
        <w:t>–</w:t>
      </w:r>
      <w:r w:rsidRPr="00267F3E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267F3E">
        <w:rPr>
          <w:rFonts w:eastAsia="SimSun"/>
          <w:b/>
          <w:sz w:val="28"/>
          <w:szCs w:val="28"/>
          <w:lang w:eastAsia="zh-CN"/>
        </w:rPr>
        <w:t xml:space="preserve"> </w:t>
      </w:r>
      <w:r w:rsidRPr="00267F3E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267F3E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Pr="00267F3E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Pr="00267F3E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267F3E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C626ABB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267F3E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06A54321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267F3E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267F3E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0D0D0F80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918520E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267F3E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510B189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267F3E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267F3E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C77B56E" w14:textId="77777777" w:rsidR="00630CAC" w:rsidRPr="00267F3E" w:rsidRDefault="00630CAC" w:rsidP="00630CAC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0777FC94" w14:textId="77777777" w:rsidR="00630CAC" w:rsidRPr="00267F3E" w:rsidRDefault="00630CAC" w:rsidP="00630CAC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267F3E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217569" w14:textId="77777777" w:rsidR="00630CAC" w:rsidRPr="00267F3E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BA2071A" w14:textId="77777777" w:rsidR="00630CAC" w:rsidRPr="00267F3E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7F3E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F72EA3" w14:textId="77777777" w:rsidR="00630CAC" w:rsidRPr="00267F3E" w:rsidRDefault="00630CAC" w:rsidP="00630CAC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267F3E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72C4F3E9" w14:textId="77777777" w:rsidR="00630CAC" w:rsidRPr="00267F3E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267F3E">
        <w:rPr>
          <w:b/>
        </w:rPr>
        <w:t xml:space="preserve">- </w:t>
      </w:r>
      <w:r w:rsidRPr="00267F3E">
        <w:rPr>
          <w:b/>
          <w:u w:val="single"/>
        </w:rPr>
        <w:t xml:space="preserve">ЭЛ. ВАРИАНТ </w:t>
      </w:r>
      <w:r w:rsidRPr="00267F3E">
        <w:rPr>
          <w:b/>
          <w:caps/>
          <w:u w:val="single"/>
        </w:rPr>
        <w:t>ДЛЯ учреждений госсектора</w:t>
      </w:r>
      <w:r w:rsidRPr="00267F3E">
        <w:rPr>
          <w:b/>
          <w:caps/>
        </w:rPr>
        <w:t xml:space="preserve"> - </w:t>
      </w:r>
      <w:r w:rsidRPr="00267F3E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267F3E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08CE238A" w14:textId="77777777" w:rsidR="00630CAC" w:rsidRPr="00267F3E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267F3E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67361C34" w14:textId="77777777" w:rsidR="00630CAC" w:rsidRPr="00267F3E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267F3E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21E4E423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267F3E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510E61C" w14:textId="77777777" w:rsidR="00630CAC" w:rsidRPr="00267F3E" w:rsidRDefault="00630CAC" w:rsidP="00630CAC">
      <w:pPr>
        <w:rPr>
          <w:rFonts w:eastAsia="SimSun"/>
          <w:lang w:eastAsia="zh-CN"/>
        </w:rPr>
      </w:pPr>
    </w:p>
    <w:p w14:paraId="5458A061" w14:textId="77777777" w:rsidR="00630CAC" w:rsidRPr="00267F3E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70D8BC4" w14:textId="77777777" w:rsidR="00630CAC" w:rsidRPr="00267F3E" w:rsidRDefault="00630CAC" w:rsidP="00630CAC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30CAC" w:rsidRPr="00267F3E" w14:paraId="610A36E4" w14:textId="77777777" w:rsidTr="00431143">
        <w:tc>
          <w:tcPr>
            <w:tcW w:w="10536" w:type="dxa"/>
            <w:shd w:val="clear" w:color="auto" w:fill="CCFFFF"/>
          </w:tcPr>
          <w:p w14:paraId="0DB7D8F0" w14:textId="77777777" w:rsidR="00630CAC" w:rsidRPr="00267F3E" w:rsidRDefault="00630CAC" w:rsidP="00431143">
            <w:pPr>
              <w:ind w:firstLine="360"/>
              <w:jc w:val="both"/>
            </w:pPr>
            <w:r w:rsidRPr="00267F3E">
              <w:t xml:space="preserve">Учетная политика разработана </w:t>
            </w:r>
            <w:r w:rsidRPr="00267F3E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267F3E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5FE8C283" w14:textId="77777777" w:rsidR="00630CAC" w:rsidRPr="00267F3E" w:rsidRDefault="00630CAC" w:rsidP="00630CAC">
      <w:pPr>
        <w:jc w:val="center"/>
        <w:rPr>
          <w:b/>
          <w:u w:val="single"/>
        </w:rPr>
      </w:pPr>
      <w:r w:rsidRPr="00267F3E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F7AF4D3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2B0F4FAB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5702745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3A9F34DE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08BC0856" w14:textId="77777777" w:rsidR="00630CAC" w:rsidRPr="00267F3E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субъекта учета;</w:t>
      </w:r>
    </w:p>
    <w:p w14:paraId="30987CFF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5000D7D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4E125FDB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31F44088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25C716F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2F786280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867A4AA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7B24E845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1EF8917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D6B1217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FA1FB49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lastRenderedPageBreak/>
        <w:t>положение о бухгалтерии</w:t>
      </w:r>
    </w:p>
    <w:p w14:paraId="4431EDF8" w14:textId="77777777" w:rsidR="00630CAC" w:rsidRPr="00267F3E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7F3E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A8323C0" w14:textId="77777777" w:rsidR="00630CAC" w:rsidRPr="00267F3E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3FF62BB" w14:textId="77777777" w:rsidR="00630CAC" w:rsidRPr="00267F3E" w:rsidRDefault="00630CAC" w:rsidP="00630CAC">
      <w:pPr>
        <w:ind w:firstLine="360"/>
        <w:jc w:val="center"/>
        <w:rPr>
          <w:b/>
          <w:color w:val="808080"/>
        </w:rPr>
      </w:pPr>
      <w:r w:rsidRPr="00267F3E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267F3E">
        <w:rPr>
          <w:b/>
          <w:bCs/>
        </w:rPr>
        <w:t>с 01 января 2026 года</w:t>
      </w:r>
      <w:r w:rsidRPr="00267F3E">
        <w:rPr>
          <w:b/>
        </w:rPr>
        <w:t>, таких как:</w:t>
      </w:r>
    </w:p>
    <w:p w14:paraId="177B5B94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27506B8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0E8FA567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37C90AE7" w14:textId="77777777" w:rsidR="00630CAC" w:rsidRPr="00267F3E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36B41962" w14:textId="77777777" w:rsidR="00630CAC" w:rsidRPr="00267F3E" w:rsidRDefault="00630CAC" w:rsidP="00630CAC">
      <w:pPr>
        <w:ind w:firstLine="360"/>
        <w:jc w:val="center"/>
      </w:pPr>
      <w:r w:rsidRPr="00267F3E">
        <w:rPr>
          <w:b/>
          <w:color w:val="000000"/>
        </w:rPr>
        <w:t xml:space="preserve">Данная учетная политика используется </w:t>
      </w:r>
      <w:r w:rsidRPr="00267F3E">
        <w:rPr>
          <w:b/>
          <w:bCs/>
          <w:color w:val="000000"/>
        </w:rPr>
        <w:t>как шаблон для создания собственных документов учреждения</w:t>
      </w:r>
      <w:r w:rsidRPr="00267F3E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267F3E">
        <w:rPr>
          <w:b/>
          <w:color w:val="FF0000"/>
          <w:u w:val="single"/>
        </w:rPr>
        <w:t>централизованными бухгалтериями</w:t>
      </w:r>
      <w:r w:rsidRPr="00267F3E">
        <w:rPr>
          <w:b/>
          <w:color w:val="000000"/>
        </w:rPr>
        <w:t>.</w:t>
      </w:r>
    </w:p>
    <w:p w14:paraId="363E99CC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000000"/>
          <w:u w:val="single"/>
        </w:rPr>
        <w:t>Для централизованных бухгалтерий выделены в тексте положения,</w:t>
      </w:r>
      <w:r w:rsidRPr="00267F3E">
        <w:rPr>
          <w:color w:val="808080"/>
        </w:rPr>
        <w:t xml:space="preserve"> </w:t>
      </w:r>
      <w:r w:rsidRPr="00267F3E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A9EEEBE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5E39BB60" w14:textId="77777777" w:rsidR="00630CAC" w:rsidRPr="00267F3E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267F3E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7D62F3C" w14:textId="77777777" w:rsidR="00630CAC" w:rsidRPr="00267F3E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1EDEF714" w14:textId="77777777" w:rsidR="00630CAC" w:rsidRPr="00267F3E" w:rsidRDefault="00630CAC" w:rsidP="00630CAC">
      <w:pPr>
        <w:jc w:val="both"/>
      </w:pPr>
      <w:r w:rsidRPr="00267F3E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AB96B6B" w14:textId="77777777" w:rsidR="00630CAC" w:rsidRPr="00267F3E" w:rsidRDefault="00630CAC" w:rsidP="00630CAC">
      <w:pPr>
        <w:jc w:val="both"/>
        <w:rPr>
          <w:sz w:val="10"/>
          <w:szCs w:val="10"/>
        </w:rPr>
      </w:pPr>
    </w:p>
    <w:p w14:paraId="665AC7B4" w14:textId="77777777" w:rsidR="00630CAC" w:rsidRPr="00267F3E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3AC2A71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EE51A07" w14:textId="77777777" w:rsidR="00630CAC" w:rsidRPr="00267F3E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267F3E" w:rsidRDefault="00A15983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267F3E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42CD" w14:textId="77777777" w:rsidR="00984E6D" w:rsidRDefault="00984E6D" w:rsidP="00037D6E">
      <w:r>
        <w:separator/>
      </w:r>
    </w:p>
  </w:endnote>
  <w:endnote w:type="continuationSeparator" w:id="0">
    <w:p w14:paraId="0E63B43D" w14:textId="77777777" w:rsidR="00984E6D" w:rsidRDefault="00984E6D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EF23" w14:textId="77777777" w:rsidR="00984E6D" w:rsidRDefault="00984E6D" w:rsidP="00037D6E">
      <w:r>
        <w:separator/>
      </w:r>
    </w:p>
  </w:footnote>
  <w:footnote w:type="continuationSeparator" w:id="0">
    <w:p w14:paraId="4E8FC30D" w14:textId="77777777" w:rsidR="00984E6D" w:rsidRDefault="00984E6D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52E3"/>
    <w:multiLevelType w:val="hybridMultilevel"/>
    <w:tmpl w:val="2E32AB28"/>
    <w:lvl w:ilvl="0" w:tplc="D10689C6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34"/>
  </w:num>
  <w:num w:numId="5">
    <w:abstractNumId w:val="17"/>
  </w:num>
  <w:num w:numId="6">
    <w:abstractNumId w:val="11"/>
  </w:num>
  <w:num w:numId="7">
    <w:abstractNumId w:val="4"/>
  </w:num>
  <w:num w:numId="8">
    <w:abstractNumId w:val="37"/>
  </w:num>
  <w:num w:numId="9">
    <w:abstractNumId w:val="45"/>
  </w:num>
  <w:num w:numId="10">
    <w:abstractNumId w:val="44"/>
  </w:num>
  <w:num w:numId="11">
    <w:abstractNumId w:val="13"/>
  </w:num>
  <w:num w:numId="12">
    <w:abstractNumId w:val="35"/>
  </w:num>
  <w:num w:numId="13">
    <w:abstractNumId w:val="31"/>
  </w:num>
  <w:num w:numId="14">
    <w:abstractNumId w:val="24"/>
  </w:num>
  <w:num w:numId="15">
    <w:abstractNumId w:val="15"/>
  </w:num>
  <w:num w:numId="16">
    <w:abstractNumId w:val="20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7"/>
  </w:num>
  <w:num w:numId="22">
    <w:abstractNumId w:val="22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 w:numId="31">
    <w:abstractNumId w:val="23"/>
  </w:num>
  <w:num w:numId="32">
    <w:abstractNumId w:val="38"/>
  </w:num>
  <w:num w:numId="33">
    <w:abstractNumId w:val="43"/>
  </w:num>
  <w:num w:numId="34">
    <w:abstractNumId w:val="36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8"/>
  </w:num>
  <w:num w:numId="46">
    <w:abstractNumId w:val="42"/>
  </w:num>
  <w:num w:numId="47">
    <w:abstractNumId w:val="25"/>
  </w:num>
  <w:num w:numId="48">
    <w:abstractNumId w:val="46"/>
  </w:num>
  <w:num w:numId="49">
    <w:abstractNumId w:val="2"/>
  </w:num>
  <w:num w:numId="5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MyB5IRR/sMIBWaP/giiSdaTd4YKtQv54eYuPJkM9OrBpDnNBsLCik99NGLjaC1WMXX+x6FU96gcGhhArvuTS8Q==" w:salt="o5OjDm/V10itWIxV1nNJy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566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67F3E"/>
    <w:rsid w:val="0027292F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97F87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C2C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000B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CAC"/>
    <w:rsid w:val="00633FF1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121"/>
    <w:rsid w:val="006E26C2"/>
    <w:rsid w:val="006E2B64"/>
    <w:rsid w:val="006E42D5"/>
    <w:rsid w:val="006E597A"/>
    <w:rsid w:val="006E5FAB"/>
    <w:rsid w:val="006E78C8"/>
    <w:rsid w:val="006F4064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4E6D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1039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4B2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1C2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064B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B79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284E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4CF7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basedOn w:val="a"/>
    <w:next w:val="a3"/>
    <w:qFormat/>
    <w:rsid w:val="00630CAC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7836-9BD1-49F8-95FD-0E53BF0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11</cp:revision>
  <cp:lastPrinted>2022-06-08T05:57:00Z</cp:lastPrinted>
  <dcterms:created xsi:type="dcterms:W3CDTF">2025-08-12T08:22:00Z</dcterms:created>
  <dcterms:modified xsi:type="dcterms:W3CDTF">2025-08-19T14:27:00Z</dcterms:modified>
</cp:coreProperties>
</file>